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214D3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黑体" w:hAnsi="黑体" w:eastAsia="黑体" w:cs="黑体"/>
          <w:sz w:val="32"/>
          <w:szCs w:val="32"/>
          <w:lang w:val="en-US" w:eastAsia="zh-CN"/>
        </w:rPr>
      </w:pPr>
      <w:bookmarkStart w:id="0" w:name="_GoBack"/>
      <w:bookmarkEnd w:id="0"/>
      <w:r>
        <w:rPr>
          <w:rFonts w:hint="eastAsia" w:ascii="黑体" w:hAnsi="黑体" w:eastAsia="黑体" w:cs="黑体"/>
          <w:sz w:val="32"/>
          <w:szCs w:val="32"/>
          <w:lang w:val="en-US" w:eastAsia="zh-CN"/>
        </w:rPr>
        <w:t>附件1</w:t>
      </w:r>
    </w:p>
    <w:p w14:paraId="4D8747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鄂尔多斯市关于进一步深化</w:t>
      </w:r>
    </w:p>
    <w:p w14:paraId="04A975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sz w:val="44"/>
          <w:szCs w:val="44"/>
        </w:rPr>
      </w:pPr>
      <w:r>
        <w:rPr>
          <w:rFonts w:hint="eastAsia" w:ascii="方正小标宋简体" w:eastAsia="方正小标宋简体"/>
          <w:sz w:val="44"/>
          <w:szCs w:val="44"/>
        </w:rPr>
        <w:t>户籍制度改革的意见</w:t>
      </w:r>
    </w:p>
    <w:p w14:paraId="4A0EB1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楷体_GB2312" w:eastAsia="楷体_GB2312"/>
          <w:sz w:val="32"/>
          <w:szCs w:val="32"/>
        </w:rPr>
      </w:pPr>
      <w:r>
        <w:rPr>
          <w:rFonts w:hint="eastAsia" w:ascii="楷体_GB2312" w:eastAsia="楷体_GB2312"/>
          <w:sz w:val="32"/>
          <w:szCs w:val="32"/>
        </w:rPr>
        <w:t>（征求意见稿）</w:t>
      </w:r>
    </w:p>
    <w:p w14:paraId="5B7543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为深入贯彻党的</w:t>
      </w:r>
      <w:r>
        <w:rPr>
          <w:rFonts w:ascii="仿宋_GB2312" w:eastAsia="仿宋_GB2312"/>
          <w:sz w:val="32"/>
          <w:szCs w:val="32"/>
        </w:rPr>
        <w:t>二十大精神，推动劳动力要素合理畅通</w:t>
      </w:r>
      <w:r>
        <w:rPr>
          <w:rFonts w:hint="eastAsia" w:ascii="仿宋_GB2312" w:eastAsia="仿宋_GB2312"/>
          <w:sz w:val="32"/>
          <w:szCs w:val="32"/>
        </w:rPr>
        <w:t>有序</w:t>
      </w:r>
      <w:r>
        <w:rPr>
          <w:rFonts w:ascii="仿宋_GB2312" w:eastAsia="仿宋_GB2312"/>
          <w:sz w:val="32"/>
          <w:szCs w:val="32"/>
        </w:rPr>
        <w:t>流动，加快农业转移人口市民化，</w:t>
      </w:r>
      <w:r>
        <w:rPr>
          <w:rFonts w:hint="eastAsia" w:ascii="仿宋_GB2312" w:eastAsia="仿宋_GB2312"/>
          <w:sz w:val="32"/>
          <w:szCs w:val="32"/>
        </w:rPr>
        <w:t>促进我市人口</w:t>
      </w:r>
      <w:r>
        <w:rPr>
          <w:rFonts w:ascii="仿宋_GB2312" w:eastAsia="仿宋_GB2312"/>
          <w:sz w:val="32"/>
          <w:szCs w:val="32"/>
        </w:rPr>
        <w:t>长期均衡发展，推动以人为核心的新型城镇化建设</w:t>
      </w:r>
      <w:r>
        <w:rPr>
          <w:rFonts w:hint="eastAsia" w:ascii="仿宋_GB2312" w:eastAsia="仿宋_GB2312"/>
          <w:sz w:val="32"/>
          <w:szCs w:val="32"/>
        </w:rPr>
        <w:t>，根据《中共中央国务院关于构建更加完善的要素市场化配置体制机制的意见》《内蒙古自治区人民政府办公厅关于全面放开城镇落户限制深化户籍制度改革的实施意见》《</w:t>
      </w:r>
      <w:r>
        <w:rPr>
          <w:rFonts w:hint="eastAsia" w:ascii="仿宋_GB2312" w:hAnsi="仿宋_GB2312" w:eastAsia="仿宋_GB2312" w:cs="仿宋_GB2312"/>
          <w:sz w:val="32"/>
          <w:szCs w:val="32"/>
        </w:rPr>
        <w:t>内蒙古</w:t>
      </w:r>
      <w:r>
        <w:rPr>
          <w:rFonts w:ascii="仿宋_GB2312" w:hAnsi="仿宋_GB2312" w:eastAsia="仿宋_GB2312" w:cs="仿宋_GB2312"/>
          <w:sz w:val="32"/>
          <w:szCs w:val="32"/>
        </w:rPr>
        <w:t>自治区公安机关户口、居民身份证管理工作规范</w:t>
      </w:r>
      <w:r>
        <w:rPr>
          <w:rFonts w:hint="eastAsia" w:ascii="仿宋_GB2312" w:eastAsia="仿宋_GB2312"/>
          <w:sz w:val="32"/>
          <w:szCs w:val="32"/>
        </w:rPr>
        <w:t>》等</w:t>
      </w:r>
      <w:r>
        <w:rPr>
          <w:rFonts w:ascii="仿宋_GB2312" w:eastAsia="仿宋_GB2312"/>
          <w:sz w:val="32"/>
          <w:szCs w:val="32"/>
        </w:rPr>
        <w:t>文件</w:t>
      </w:r>
      <w:r>
        <w:rPr>
          <w:rFonts w:hint="eastAsia" w:ascii="仿宋_GB2312" w:eastAsia="仿宋_GB2312"/>
          <w:sz w:val="32"/>
          <w:szCs w:val="32"/>
        </w:rPr>
        <w:t>精神，</w:t>
      </w:r>
      <w:r>
        <w:rPr>
          <w:rFonts w:ascii="仿宋_GB2312" w:eastAsia="仿宋_GB2312"/>
          <w:sz w:val="32"/>
          <w:szCs w:val="32"/>
        </w:rPr>
        <w:t>经市政府同意，现</w:t>
      </w:r>
      <w:r>
        <w:rPr>
          <w:rFonts w:hint="eastAsia" w:ascii="仿宋_GB2312" w:eastAsia="仿宋_GB2312"/>
          <w:sz w:val="32"/>
          <w:szCs w:val="32"/>
        </w:rPr>
        <w:t>就我市</w:t>
      </w:r>
      <w:r>
        <w:rPr>
          <w:rFonts w:ascii="仿宋_GB2312" w:eastAsia="仿宋_GB2312"/>
          <w:sz w:val="32"/>
          <w:szCs w:val="32"/>
        </w:rPr>
        <w:t>户籍制度改革提出</w:t>
      </w:r>
      <w:r>
        <w:rPr>
          <w:rFonts w:hint="eastAsia" w:ascii="仿宋_GB2312" w:eastAsia="仿宋_GB2312"/>
          <w:sz w:val="32"/>
          <w:szCs w:val="32"/>
        </w:rPr>
        <w:t>如下</w:t>
      </w:r>
      <w:r>
        <w:rPr>
          <w:rFonts w:ascii="仿宋_GB2312" w:eastAsia="仿宋_GB2312"/>
          <w:sz w:val="32"/>
          <w:szCs w:val="32"/>
        </w:rPr>
        <w:t>意见：</w:t>
      </w:r>
    </w:p>
    <w:p w14:paraId="517A2C3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黑体" w:hAnsi="黑体" w:eastAsia="黑体"/>
          <w:b/>
          <w:sz w:val="32"/>
          <w:szCs w:val="32"/>
        </w:rPr>
      </w:pPr>
      <w:r>
        <w:rPr>
          <w:rFonts w:hint="eastAsia" w:ascii="黑体" w:hAnsi="黑体" w:eastAsia="黑体"/>
          <w:b/>
          <w:sz w:val="32"/>
          <w:szCs w:val="32"/>
        </w:rPr>
        <w:t>一</w:t>
      </w:r>
      <w:r>
        <w:rPr>
          <w:rFonts w:ascii="黑体" w:hAnsi="黑体" w:eastAsia="黑体"/>
          <w:b/>
          <w:sz w:val="32"/>
          <w:szCs w:val="32"/>
        </w:rPr>
        <w:t>、总体要求</w:t>
      </w:r>
    </w:p>
    <w:p w14:paraId="3AD2A56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sz w:val="32"/>
          <w:szCs w:val="32"/>
        </w:rPr>
      </w:pPr>
      <w:r>
        <w:rPr>
          <w:rFonts w:hint="eastAsia" w:ascii="楷体_GB2312" w:hAnsi="黑体" w:eastAsia="楷体_GB2312"/>
          <w:b/>
          <w:sz w:val="32"/>
          <w:szCs w:val="32"/>
        </w:rPr>
        <w:t>（一）工作目标。</w:t>
      </w:r>
      <w:r>
        <w:rPr>
          <w:rFonts w:hint="eastAsia" w:ascii="仿宋_GB2312" w:hAnsi="黑体" w:eastAsia="仿宋_GB2312"/>
          <w:sz w:val="32"/>
          <w:szCs w:val="32"/>
        </w:rPr>
        <w:t>坚持以习近平新时代中国特色社会主义思想为指导，坚持以人民为中心，进一步深化户籍制度改革，积极施行经常居住地登记户口制度，</w:t>
      </w:r>
      <w:r>
        <w:rPr>
          <w:rFonts w:ascii="仿宋_GB2312" w:hAnsi="黑体" w:eastAsia="仿宋_GB2312"/>
          <w:sz w:val="32"/>
          <w:szCs w:val="32"/>
        </w:rPr>
        <w:t>全面取消</w:t>
      </w:r>
      <w:r>
        <w:rPr>
          <w:rFonts w:hint="eastAsia" w:ascii="仿宋_GB2312" w:hAnsi="黑体" w:eastAsia="仿宋_GB2312"/>
          <w:sz w:val="32"/>
          <w:szCs w:val="32"/>
        </w:rPr>
        <w:t>城镇</w:t>
      </w:r>
      <w:r>
        <w:rPr>
          <w:rFonts w:ascii="仿宋_GB2312" w:hAnsi="黑体" w:eastAsia="仿宋_GB2312"/>
          <w:sz w:val="32"/>
          <w:szCs w:val="32"/>
        </w:rPr>
        <w:t>落户限制，</w:t>
      </w:r>
      <w:r>
        <w:rPr>
          <w:rFonts w:hint="eastAsia" w:ascii="仿宋_GB2312" w:hAnsi="黑体" w:eastAsia="仿宋_GB2312"/>
          <w:sz w:val="32"/>
          <w:szCs w:val="32"/>
        </w:rPr>
        <w:t>全面放宽</w:t>
      </w:r>
      <w:r>
        <w:rPr>
          <w:rFonts w:ascii="仿宋_GB2312" w:hAnsi="黑体" w:eastAsia="仿宋_GB2312"/>
          <w:sz w:val="32"/>
          <w:szCs w:val="32"/>
        </w:rPr>
        <w:t>农村地区落户政策，</w:t>
      </w:r>
      <w:r>
        <w:rPr>
          <w:rFonts w:hint="eastAsia" w:ascii="仿宋_GB2312" w:hAnsi="黑体" w:eastAsia="仿宋_GB2312"/>
          <w:sz w:val="32"/>
          <w:szCs w:val="32"/>
        </w:rPr>
        <w:t>畅通人才流动渠道，不断优化人口结构规模，助力我市经济社会高质量发展。</w:t>
      </w:r>
    </w:p>
    <w:p w14:paraId="7E4A1AE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sz w:val="32"/>
          <w:szCs w:val="32"/>
        </w:rPr>
      </w:pPr>
      <w:r>
        <w:rPr>
          <w:rFonts w:hint="eastAsia" w:ascii="楷体_GB2312" w:hAnsi="黑体" w:eastAsia="楷体_GB2312"/>
          <w:b/>
          <w:sz w:val="32"/>
          <w:szCs w:val="32"/>
        </w:rPr>
        <w:t>（二）基本原则。</w:t>
      </w:r>
      <w:r>
        <w:rPr>
          <w:rFonts w:ascii="仿宋_GB2312" w:hAnsi="黑体" w:eastAsia="仿宋_GB2312"/>
          <w:sz w:val="32"/>
          <w:szCs w:val="32"/>
        </w:rPr>
        <w:t>坚持积极稳妥、以人为本，尊重居民自主定居</w:t>
      </w:r>
      <w:r>
        <w:rPr>
          <w:rFonts w:hint="eastAsia" w:ascii="仿宋_GB2312" w:hAnsi="黑体" w:eastAsia="仿宋_GB2312"/>
          <w:sz w:val="32"/>
          <w:szCs w:val="32"/>
        </w:rPr>
        <w:t>意愿</w:t>
      </w:r>
      <w:r>
        <w:rPr>
          <w:rFonts w:ascii="仿宋_GB2312" w:hAnsi="黑体" w:eastAsia="仿宋_GB2312"/>
          <w:sz w:val="32"/>
          <w:szCs w:val="32"/>
        </w:rPr>
        <w:t>，稳妥推进农业转移人口落户城镇；</w:t>
      </w:r>
      <w:r>
        <w:rPr>
          <w:rFonts w:hint="eastAsia" w:ascii="仿宋_GB2312" w:hAnsi="黑体" w:eastAsia="仿宋_GB2312"/>
          <w:sz w:val="32"/>
          <w:szCs w:val="32"/>
        </w:rPr>
        <w:t>坚持</w:t>
      </w:r>
      <w:r>
        <w:rPr>
          <w:rFonts w:ascii="仿宋_GB2312" w:hAnsi="黑体" w:eastAsia="仿宋_GB2312"/>
          <w:sz w:val="32"/>
          <w:szCs w:val="32"/>
        </w:rPr>
        <w:t>分类管理、有序迁</w:t>
      </w:r>
      <w:r>
        <w:rPr>
          <w:rFonts w:hint="eastAsia" w:ascii="仿宋_GB2312" w:hAnsi="黑体" w:eastAsia="仿宋_GB2312"/>
          <w:sz w:val="32"/>
          <w:szCs w:val="32"/>
        </w:rPr>
        <w:t>移</w:t>
      </w:r>
      <w:r>
        <w:rPr>
          <w:rFonts w:ascii="仿宋_GB2312" w:hAnsi="黑体" w:eastAsia="仿宋_GB2312"/>
          <w:sz w:val="32"/>
          <w:szCs w:val="32"/>
        </w:rPr>
        <w:t>，合理调整城乡之间、城区之间人口</w:t>
      </w:r>
      <w:r>
        <w:rPr>
          <w:rFonts w:hint="eastAsia" w:ascii="仿宋_GB2312" w:hAnsi="黑体" w:eastAsia="仿宋_GB2312"/>
          <w:sz w:val="32"/>
          <w:szCs w:val="32"/>
        </w:rPr>
        <w:t>结构</w:t>
      </w:r>
      <w:r>
        <w:rPr>
          <w:rFonts w:ascii="仿宋_GB2312" w:hAnsi="黑体" w:eastAsia="仿宋_GB2312"/>
          <w:sz w:val="32"/>
          <w:szCs w:val="32"/>
        </w:rPr>
        <w:t>；坚持统筹规划、全面布局，着力完善相关配套制度和政策；坚持因地制宜、分</w:t>
      </w:r>
      <w:r>
        <w:rPr>
          <w:rFonts w:hint="eastAsia" w:ascii="仿宋_GB2312" w:hAnsi="黑体" w:eastAsia="仿宋_GB2312"/>
          <w:sz w:val="32"/>
          <w:szCs w:val="32"/>
        </w:rPr>
        <w:t>类</w:t>
      </w:r>
      <w:r>
        <w:rPr>
          <w:rFonts w:ascii="仿宋_GB2312" w:hAnsi="黑体" w:eastAsia="仿宋_GB2312"/>
          <w:sz w:val="32"/>
          <w:szCs w:val="32"/>
        </w:rPr>
        <w:t>指导，统筹考虑地区经济社会发展和城市综合承载能力。</w:t>
      </w:r>
    </w:p>
    <w:p w14:paraId="233F17C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黑体" w:hAnsi="黑体" w:eastAsia="黑体"/>
          <w:b/>
          <w:sz w:val="32"/>
          <w:szCs w:val="32"/>
        </w:rPr>
      </w:pPr>
      <w:r>
        <w:rPr>
          <w:rFonts w:hint="eastAsia" w:ascii="黑体" w:hAnsi="黑体" w:eastAsia="黑体"/>
          <w:b/>
          <w:sz w:val="32"/>
          <w:szCs w:val="32"/>
        </w:rPr>
        <w:t>二</w:t>
      </w:r>
      <w:r>
        <w:rPr>
          <w:rFonts w:ascii="黑体" w:hAnsi="黑体" w:eastAsia="黑体"/>
          <w:b/>
          <w:sz w:val="32"/>
          <w:szCs w:val="32"/>
        </w:rPr>
        <w:t>、全面放开城</w:t>
      </w:r>
      <w:r>
        <w:rPr>
          <w:rFonts w:hint="eastAsia" w:ascii="黑体" w:hAnsi="黑体" w:eastAsia="黑体"/>
          <w:b/>
          <w:sz w:val="32"/>
          <w:szCs w:val="32"/>
        </w:rPr>
        <w:t>镇</w:t>
      </w:r>
      <w:r>
        <w:rPr>
          <w:rFonts w:ascii="黑体" w:hAnsi="黑体" w:eastAsia="黑体"/>
          <w:b/>
          <w:sz w:val="32"/>
          <w:szCs w:val="32"/>
        </w:rPr>
        <w:t>落户</w:t>
      </w:r>
      <w:r>
        <w:rPr>
          <w:rFonts w:hint="eastAsia" w:ascii="黑体" w:hAnsi="黑体" w:eastAsia="黑体"/>
          <w:b/>
          <w:sz w:val="32"/>
          <w:szCs w:val="32"/>
        </w:rPr>
        <w:t>限制</w:t>
      </w:r>
    </w:p>
    <w:p w14:paraId="0C40B61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sz w:val="32"/>
          <w:szCs w:val="32"/>
        </w:rPr>
      </w:pPr>
      <w:r>
        <w:rPr>
          <w:rFonts w:hint="eastAsia" w:ascii="楷体_GB2312" w:hAnsi="黑体" w:eastAsia="楷体_GB2312"/>
          <w:b/>
          <w:sz w:val="32"/>
          <w:szCs w:val="32"/>
        </w:rPr>
        <w:t>（一）允许农牧业转移人口在居住地或就业地落户。</w:t>
      </w:r>
      <w:r>
        <w:rPr>
          <w:rFonts w:hint="eastAsia" w:ascii="仿宋_GB2312" w:hAnsi="黑体" w:eastAsia="仿宋_GB2312"/>
          <w:sz w:val="32"/>
          <w:szCs w:val="32"/>
        </w:rPr>
        <w:t>进入城市、建制镇居住生活的农村地区户籍人员可以凭合法稳定住所（含租赁）条件申请落户城镇，也可凭合法稳定就业条件申请落户城镇。农村地区户籍人员在我市城市、建制镇有合法稳定住所或合法稳定就业，本人及其共同居住生活的配偶、子女、孙子女、外孙子女和夫妻双方父母，可以在居住地或就业地申请登记常住户口，不受参加城镇社会保险、居住年限等其他条件的限制。</w:t>
      </w:r>
    </w:p>
    <w:p w14:paraId="2F46333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sz w:val="32"/>
          <w:szCs w:val="32"/>
        </w:rPr>
      </w:pPr>
      <w:r>
        <w:rPr>
          <w:rFonts w:hint="eastAsia" w:ascii="楷体_GB2312" w:hAnsi="黑体" w:eastAsia="楷体_GB2312"/>
          <w:b/>
          <w:sz w:val="32"/>
          <w:szCs w:val="32"/>
        </w:rPr>
        <w:t>（二）放开学生升学和参军进入城镇的人员落户限制。</w:t>
      </w:r>
      <w:r>
        <w:rPr>
          <w:rFonts w:ascii="仿宋_GB2312" w:hAnsi="黑体" w:eastAsia="仿宋_GB2312"/>
          <w:sz w:val="32"/>
          <w:szCs w:val="32"/>
        </w:rPr>
        <w:t>凡考入我市大中专院校就读的学生，依照本人意愿，可以在入学时或就读期间将户口迁入就读院校集体户。毕业后根据实际情况可将户口迁入我市人才集体户或者迁入经常居住地、就（创）业地或者入学前户籍所在地</w:t>
      </w:r>
      <w:r>
        <w:rPr>
          <w:rFonts w:hint="eastAsia" w:ascii="仿宋_GB2312" w:hAnsi="黑体" w:eastAsia="仿宋_GB2312"/>
          <w:sz w:val="32"/>
          <w:szCs w:val="32"/>
        </w:rPr>
        <w:t>，</w:t>
      </w:r>
      <w:r>
        <w:rPr>
          <w:rFonts w:ascii="仿宋_GB2312" w:hAnsi="黑体" w:eastAsia="仿宋_GB2312"/>
          <w:sz w:val="32"/>
          <w:szCs w:val="32"/>
        </w:rPr>
        <w:t>不受合法稳定住所、合法稳定就业、参加城镇社会保险等其他条件的限制。退出部队现役的义务兵和士官，依照本人意愿，按照经常居住地登记户口原则，可以在我市现实际居住生活城市、建制镇申请迁移落户，不受合法稳定住所、合法稳定就业、参加城镇社会保险、居住年限等其他条件的限制。</w:t>
      </w:r>
    </w:p>
    <w:p w14:paraId="477D7D0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sz w:val="32"/>
          <w:szCs w:val="32"/>
        </w:rPr>
      </w:pPr>
      <w:r>
        <w:rPr>
          <w:rFonts w:hint="eastAsia" w:ascii="楷体_GB2312" w:hAnsi="黑体" w:eastAsia="楷体_GB2312"/>
          <w:b/>
          <w:sz w:val="32"/>
          <w:szCs w:val="32"/>
        </w:rPr>
        <w:t>（三）放开高校毕业生、技术工人、职业院校毕业生、留学归国人员落户限制。</w:t>
      </w:r>
      <w:r>
        <w:rPr>
          <w:rFonts w:hint="eastAsia" w:ascii="仿宋_GB2312" w:hAnsi="黑体" w:eastAsia="仿宋_GB2312"/>
          <w:sz w:val="32"/>
          <w:szCs w:val="32"/>
        </w:rPr>
        <w:t>实行中专及以上学历毕业生可“先落户、后就业”的人才引进政策。取得国家认可的中专以上学历的高校毕业生、中等职业学校毕业生、取得技术等级证书或职业资格证书的人员以及企事业单位需要的技术工人、留学归国人员，依照本人意愿，按照经常居住地登记户口原则，可以在我市城市、建制镇申请落户，不受合法稳定住所、合法稳定就业、参加城镇社会保险、居住年限等其他条件的限制。</w:t>
      </w:r>
    </w:p>
    <w:p w14:paraId="0614D6B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sz w:val="32"/>
          <w:szCs w:val="32"/>
        </w:rPr>
      </w:pPr>
      <w:r>
        <w:rPr>
          <w:rFonts w:hint="eastAsia" w:ascii="楷体_GB2312" w:hAnsi="黑体" w:eastAsia="楷体_GB2312"/>
          <w:b/>
          <w:sz w:val="32"/>
          <w:szCs w:val="32"/>
        </w:rPr>
        <w:t>（四）放开其他常住人口落户限制。</w:t>
      </w:r>
      <w:r>
        <w:rPr>
          <w:rFonts w:hint="eastAsia" w:ascii="仿宋_GB2312" w:hAnsi="黑体" w:eastAsia="仿宋_GB2312"/>
          <w:sz w:val="32"/>
          <w:szCs w:val="32"/>
        </w:rPr>
        <w:t>对在我市城镇、建制镇连续居住</w:t>
      </w:r>
      <w:r>
        <w:rPr>
          <w:rFonts w:ascii="仿宋_GB2312" w:hAnsi="黑体" w:eastAsia="仿宋_GB2312"/>
          <w:sz w:val="32"/>
          <w:szCs w:val="32"/>
        </w:rPr>
        <w:t>6个月以上的农村地区籍人口和其他常住人口，依照本人意愿，按照经常居住地登记户口原则，本人及其共同居住生活的配偶、子女和夫妻双方父母，可在现实际居住生活的城镇、建制镇申请落户，不受合法稳定住所、合法稳定就业、参加城镇社会保险等其他条件的限制。</w:t>
      </w:r>
    </w:p>
    <w:p w14:paraId="084072E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sz w:val="32"/>
          <w:szCs w:val="32"/>
        </w:rPr>
      </w:pPr>
      <w:r>
        <w:rPr>
          <w:rFonts w:hint="eastAsia" w:ascii="楷体_GB2312" w:hAnsi="黑体" w:eastAsia="楷体_GB2312"/>
          <w:b/>
          <w:sz w:val="32"/>
          <w:szCs w:val="32"/>
        </w:rPr>
        <w:t>（五）放宽投靠落户条件。</w:t>
      </w:r>
      <w:r>
        <w:rPr>
          <w:rFonts w:ascii="仿宋_GB2312" w:hAnsi="黑体" w:eastAsia="仿宋_GB2312"/>
          <w:sz w:val="32"/>
          <w:szCs w:val="32"/>
        </w:rPr>
        <w:t>具有我市城镇、建制镇户籍的人员，</w:t>
      </w:r>
      <w:r>
        <w:rPr>
          <w:rFonts w:hint="eastAsia" w:ascii="仿宋_GB2312" w:hAnsi="黑体" w:eastAsia="仿宋_GB2312"/>
          <w:sz w:val="32"/>
          <w:szCs w:val="32"/>
        </w:rPr>
        <w:t>与</w:t>
      </w:r>
      <w:r>
        <w:rPr>
          <w:rFonts w:ascii="仿宋_GB2312" w:hAnsi="黑体" w:eastAsia="仿宋_GB2312"/>
          <w:sz w:val="32"/>
          <w:szCs w:val="32"/>
        </w:rPr>
        <w:t>其共同居住生活的配偶、子女、孙子女</w:t>
      </w:r>
      <w:r>
        <w:rPr>
          <w:rFonts w:hint="eastAsia" w:ascii="仿宋_GB2312" w:hAnsi="黑体" w:eastAsia="仿宋_GB2312"/>
          <w:sz w:val="32"/>
          <w:szCs w:val="32"/>
        </w:rPr>
        <w:t>、</w:t>
      </w:r>
      <w:r>
        <w:rPr>
          <w:rFonts w:ascii="仿宋_GB2312" w:hAnsi="黑体" w:eastAsia="仿宋_GB2312"/>
          <w:sz w:val="32"/>
          <w:szCs w:val="32"/>
        </w:rPr>
        <w:t>外孙子女</w:t>
      </w:r>
      <w:r>
        <w:rPr>
          <w:rFonts w:hint="eastAsia" w:ascii="仿宋_GB2312" w:hAnsi="黑体" w:eastAsia="仿宋_GB2312"/>
          <w:sz w:val="32"/>
          <w:szCs w:val="32"/>
        </w:rPr>
        <w:t>、</w:t>
      </w:r>
      <w:r>
        <w:rPr>
          <w:rFonts w:ascii="仿宋_GB2312" w:hAnsi="黑体" w:eastAsia="仿宋_GB2312"/>
          <w:sz w:val="32"/>
          <w:szCs w:val="32"/>
        </w:rPr>
        <w:t>夫妻双方父母，可以申请投靠落户，不受投靠人员年龄、婚否、参加城镇社会保险和住房面积等其他条件的限制。</w:t>
      </w:r>
    </w:p>
    <w:p w14:paraId="75E5B32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三、</w:t>
      </w:r>
      <w:r>
        <w:rPr>
          <w:rFonts w:ascii="黑体" w:hAnsi="黑体" w:eastAsia="黑体"/>
          <w:b/>
          <w:color w:val="000000" w:themeColor="text1"/>
          <w:sz w:val="32"/>
          <w:szCs w:val="32"/>
          <w14:textFill>
            <w14:solidFill>
              <w14:schemeClr w14:val="tx1"/>
            </w14:solidFill>
          </w14:textFill>
        </w:rPr>
        <w:t>放</w:t>
      </w:r>
      <w:r>
        <w:rPr>
          <w:rFonts w:hint="eastAsia" w:ascii="黑体" w:hAnsi="黑体" w:eastAsia="黑体"/>
          <w:b/>
          <w:color w:val="000000" w:themeColor="text1"/>
          <w:sz w:val="32"/>
          <w:szCs w:val="32"/>
          <w14:textFill>
            <w14:solidFill>
              <w14:schemeClr w14:val="tx1"/>
            </w14:solidFill>
          </w14:textFill>
        </w:rPr>
        <w:t>宽农村地区</w:t>
      </w:r>
      <w:r>
        <w:rPr>
          <w:rFonts w:ascii="黑体" w:hAnsi="黑体" w:eastAsia="黑体"/>
          <w:b/>
          <w:color w:val="000000" w:themeColor="text1"/>
          <w:sz w:val="32"/>
          <w:szCs w:val="32"/>
          <w14:textFill>
            <w14:solidFill>
              <w14:schemeClr w14:val="tx1"/>
            </w14:solidFill>
          </w14:textFill>
        </w:rPr>
        <w:t>落户</w:t>
      </w:r>
      <w:r>
        <w:rPr>
          <w:rFonts w:hint="eastAsia" w:ascii="黑体" w:hAnsi="黑体" w:eastAsia="黑体"/>
          <w:b/>
          <w:color w:val="000000" w:themeColor="text1"/>
          <w:sz w:val="32"/>
          <w:szCs w:val="32"/>
          <w14:textFill>
            <w14:solidFill>
              <w14:schemeClr w14:val="tx1"/>
            </w14:solidFill>
          </w14:textFill>
        </w:rPr>
        <w:t>政策</w:t>
      </w:r>
    </w:p>
    <w:p w14:paraId="4789F5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根据自治区</w:t>
      </w:r>
      <w:r>
        <w:rPr>
          <w:rFonts w:ascii="仿宋_GB2312" w:hAnsi="仿宋_GB2312" w:eastAsia="仿宋_GB2312" w:cs="仿宋_GB2312"/>
          <w:sz w:val="32"/>
          <w:szCs w:val="32"/>
        </w:rPr>
        <w:t>公安厅《</w:t>
      </w:r>
      <w:r>
        <w:rPr>
          <w:rFonts w:hint="eastAsia" w:ascii="仿宋_GB2312" w:hAnsi="仿宋_GB2312" w:eastAsia="仿宋_GB2312" w:cs="仿宋_GB2312"/>
          <w:sz w:val="32"/>
          <w:szCs w:val="32"/>
        </w:rPr>
        <w:t>内蒙古</w:t>
      </w:r>
      <w:r>
        <w:rPr>
          <w:rFonts w:ascii="仿宋_GB2312" w:hAnsi="仿宋_GB2312" w:eastAsia="仿宋_GB2312" w:cs="仿宋_GB2312"/>
          <w:sz w:val="32"/>
          <w:szCs w:val="32"/>
        </w:rPr>
        <w:t>自治区公安机关户口、居民身份证管理工作规范》</w:t>
      </w:r>
      <w:r>
        <w:rPr>
          <w:rFonts w:hint="eastAsia" w:ascii="仿宋_GB2312" w:hAnsi="仿宋_GB2312" w:eastAsia="仿宋_GB2312" w:cs="仿宋_GB2312"/>
          <w:sz w:val="32"/>
          <w:szCs w:val="32"/>
        </w:rPr>
        <w:t>（内</w:t>
      </w:r>
      <w:r>
        <w:rPr>
          <w:rFonts w:ascii="仿宋_GB2312" w:hAnsi="仿宋_GB2312" w:eastAsia="仿宋_GB2312" w:cs="仿宋_GB2312"/>
          <w:sz w:val="32"/>
          <w:szCs w:val="32"/>
        </w:rPr>
        <w:t>公通字〔</w:t>
      </w:r>
      <w:r>
        <w:rPr>
          <w:rFonts w:hint="eastAsia" w:ascii="仿宋_GB2312" w:hAnsi="仿宋_GB2312" w:eastAsia="仿宋_GB2312" w:cs="仿宋_GB2312"/>
          <w:sz w:val="32"/>
          <w:szCs w:val="32"/>
        </w:rPr>
        <w:t>2024</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90号）文件</w:t>
      </w:r>
      <w:r>
        <w:rPr>
          <w:rFonts w:ascii="仿宋_GB2312" w:hAnsi="仿宋_GB2312" w:eastAsia="仿宋_GB2312" w:cs="仿宋_GB2312"/>
          <w:sz w:val="32"/>
          <w:szCs w:val="32"/>
        </w:rPr>
        <w:t>规定，</w:t>
      </w:r>
      <w:r>
        <w:rPr>
          <w:rFonts w:hint="eastAsia" w:ascii="仿宋_GB2312" w:hAnsi="仿宋_GB2312" w:eastAsia="仿宋_GB2312" w:cs="仿宋_GB2312"/>
          <w:sz w:val="32"/>
          <w:szCs w:val="32"/>
        </w:rPr>
        <w:t>按照经常居住地登记户口原则，根据村民自治意愿，可以</w:t>
      </w:r>
      <w:r>
        <w:rPr>
          <w:rFonts w:ascii="仿宋_GB2312" w:hAnsi="仿宋_GB2312" w:eastAsia="仿宋_GB2312" w:cs="仿宋_GB2312"/>
          <w:sz w:val="32"/>
          <w:szCs w:val="32"/>
        </w:rPr>
        <w:t>将户口迁入农村地区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集体收益分配权以是否拥有集体经济组织成员资格为依据，户口登记不作为享有集体收益分配权的依据，户口迁移与集体利益分配无关。</w:t>
      </w:r>
    </w:p>
    <w:p w14:paraId="363BFDF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sz w:val="32"/>
          <w:szCs w:val="32"/>
        </w:rPr>
      </w:pPr>
      <w:r>
        <w:rPr>
          <w:rFonts w:hint="eastAsia" w:ascii="楷体_GB2312" w:hAnsi="仿宋_GB2312" w:eastAsia="楷体_GB2312" w:cs="仿宋_GB2312"/>
          <w:b/>
          <w:sz w:val="32"/>
          <w:szCs w:val="32"/>
        </w:rPr>
        <w:t>（一）放宽农村地区投靠落户条件。</w:t>
      </w:r>
      <w:r>
        <w:rPr>
          <w:rFonts w:hint="eastAsia" w:ascii="仿宋_GB2312" w:hAnsi="仿宋_GB2312" w:eastAsia="仿宋_GB2312" w:cs="仿宋_GB2312"/>
          <w:sz w:val="32"/>
          <w:szCs w:val="32"/>
        </w:rPr>
        <w:t>符合</w:t>
      </w:r>
      <w:r>
        <w:rPr>
          <w:rFonts w:ascii="仿宋_GB2312" w:hAnsi="仿宋_GB2312" w:eastAsia="仿宋_GB2312" w:cs="仿宋_GB2312"/>
          <w:sz w:val="32"/>
          <w:szCs w:val="32"/>
        </w:rPr>
        <w:t>夫妻相互投靠、</w:t>
      </w:r>
      <w:r>
        <w:rPr>
          <w:rFonts w:hint="eastAsia" w:ascii="仿宋_GB2312" w:hAnsi="仿宋_GB2312" w:eastAsia="仿宋_GB2312" w:cs="仿宋_GB2312"/>
          <w:sz w:val="32"/>
          <w:szCs w:val="32"/>
          <w:lang w:eastAsia="zh-CN"/>
        </w:rPr>
        <w:t>子女</w:t>
      </w:r>
      <w:r>
        <w:rPr>
          <w:rFonts w:hint="eastAsia" w:ascii="仿宋_GB2312" w:hAnsi="仿宋_GB2312" w:eastAsia="仿宋_GB2312" w:cs="仿宋_GB2312"/>
          <w:sz w:val="32"/>
          <w:szCs w:val="32"/>
        </w:rPr>
        <w:t>或者</w:t>
      </w:r>
      <w:r>
        <w:rPr>
          <w:rFonts w:ascii="仿宋_GB2312" w:hAnsi="仿宋_GB2312" w:eastAsia="仿宋_GB2312" w:cs="仿宋_GB2312"/>
          <w:sz w:val="32"/>
          <w:szCs w:val="32"/>
        </w:rPr>
        <w:t>无独立生活能力的人投靠父母、</w:t>
      </w:r>
      <w:r>
        <w:rPr>
          <w:rFonts w:hint="eastAsia" w:ascii="仿宋_GB2312" w:hAnsi="仿宋_GB2312" w:eastAsia="仿宋_GB2312" w:cs="仿宋_GB2312"/>
          <w:sz w:val="32"/>
          <w:szCs w:val="32"/>
        </w:rPr>
        <w:t>无独立</w:t>
      </w:r>
      <w:r>
        <w:rPr>
          <w:rFonts w:ascii="仿宋_GB2312" w:hAnsi="仿宋_GB2312" w:eastAsia="仿宋_GB2312" w:cs="仿宋_GB2312"/>
          <w:sz w:val="32"/>
          <w:szCs w:val="32"/>
        </w:rPr>
        <w:t>生活能力的老人投靠成年子女</w:t>
      </w:r>
      <w:r>
        <w:rPr>
          <w:rFonts w:hint="eastAsia" w:ascii="仿宋_GB2312" w:hAnsi="仿宋_GB2312" w:eastAsia="仿宋_GB2312" w:cs="仿宋_GB2312"/>
          <w:sz w:val="32"/>
          <w:szCs w:val="32"/>
        </w:rPr>
        <w:t>等</w:t>
      </w:r>
      <w:r>
        <w:rPr>
          <w:rFonts w:ascii="仿宋_GB2312" w:hAnsi="仿宋_GB2312" w:eastAsia="仿宋_GB2312" w:cs="仿宋_GB2312"/>
          <w:sz w:val="32"/>
          <w:szCs w:val="32"/>
        </w:rPr>
        <w:t>迁户条件</w:t>
      </w:r>
      <w:r>
        <w:rPr>
          <w:rFonts w:hint="eastAsia" w:ascii="仿宋_GB2312" w:hAnsi="仿宋_GB2312" w:eastAsia="仿宋_GB2312" w:cs="仿宋_GB2312"/>
          <w:sz w:val="32"/>
          <w:szCs w:val="32"/>
        </w:rPr>
        <w:t>的</w:t>
      </w:r>
      <w:r>
        <w:rPr>
          <w:rFonts w:ascii="仿宋_GB2312" w:hAnsi="仿宋_GB2312" w:eastAsia="仿宋_GB2312" w:cs="仿宋_GB2312"/>
          <w:sz w:val="32"/>
          <w:szCs w:val="32"/>
        </w:rPr>
        <w:t>，可以将户口迁入农村地区</w:t>
      </w:r>
      <w:r>
        <w:rPr>
          <w:rFonts w:hint="eastAsia" w:ascii="仿宋_GB2312" w:hAnsi="仿宋_GB2312" w:eastAsia="仿宋_GB2312" w:cs="仿宋_GB2312"/>
          <w:sz w:val="32"/>
          <w:szCs w:val="32"/>
        </w:rPr>
        <w:t>。</w:t>
      </w:r>
    </w:p>
    <w:p w14:paraId="7AAAD7F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sz w:val="32"/>
          <w:szCs w:val="32"/>
        </w:rPr>
      </w:pPr>
      <w:r>
        <w:rPr>
          <w:rFonts w:hint="eastAsia" w:ascii="楷体_GB2312" w:hAnsi="仿宋_GB2312" w:eastAsia="楷体_GB2312" w:cs="仿宋_GB2312"/>
          <w:b/>
          <w:sz w:val="32"/>
          <w:szCs w:val="32"/>
        </w:rPr>
        <w:t>（二）放宽</w:t>
      </w:r>
      <w:r>
        <w:rPr>
          <w:rFonts w:ascii="楷体_GB2312" w:hAnsi="仿宋_GB2312" w:eastAsia="楷体_GB2312" w:cs="仿宋_GB2312"/>
          <w:b/>
          <w:sz w:val="32"/>
          <w:szCs w:val="32"/>
        </w:rPr>
        <w:t>农村籍</w:t>
      </w:r>
      <w:r>
        <w:rPr>
          <w:rFonts w:hint="eastAsia" w:ascii="楷体_GB2312" w:hAnsi="仿宋_GB2312" w:eastAsia="楷体_GB2312" w:cs="仿宋_GB2312"/>
          <w:b/>
          <w:sz w:val="32"/>
          <w:szCs w:val="32"/>
        </w:rPr>
        <w:t>大学生</w:t>
      </w:r>
      <w:r>
        <w:rPr>
          <w:rFonts w:ascii="楷体_GB2312" w:hAnsi="仿宋_GB2312" w:eastAsia="楷体_GB2312" w:cs="仿宋_GB2312"/>
          <w:b/>
          <w:sz w:val="32"/>
          <w:szCs w:val="32"/>
        </w:rPr>
        <w:t>、</w:t>
      </w:r>
      <w:r>
        <w:rPr>
          <w:rFonts w:hint="eastAsia" w:ascii="楷体_GB2312" w:hAnsi="仿宋_GB2312" w:eastAsia="楷体_GB2312" w:cs="仿宋_GB2312"/>
          <w:b/>
          <w:sz w:val="32"/>
          <w:szCs w:val="32"/>
        </w:rPr>
        <w:t>退伍军人</w:t>
      </w:r>
      <w:r>
        <w:rPr>
          <w:rFonts w:ascii="楷体_GB2312" w:hAnsi="仿宋_GB2312" w:eastAsia="楷体_GB2312" w:cs="仿宋_GB2312"/>
          <w:b/>
          <w:sz w:val="32"/>
          <w:szCs w:val="32"/>
        </w:rPr>
        <w:t>、科技人才</w:t>
      </w:r>
      <w:r>
        <w:rPr>
          <w:rFonts w:hint="eastAsia" w:ascii="楷体_GB2312" w:hAnsi="仿宋_GB2312" w:eastAsia="楷体_GB2312" w:cs="仿宋_GB2312"/>
          <w:b/>
          <w:sz w:val="32"/>
          <w:szCs w:val="32"/>
          <w:lang w:eastAsia="zh-CN"/>
        </w:rPr>
        <w:t>、创业人员</w:t>
      </w:r>
      <w:r>
        <w:rPr>
          <w:rFonts w:ascii="楷体_GB2312" w:hAnsi="仿宋_GB2312" w:eastAsia="楷体_GB2312" w:cs="仿宋_GB2312"/>
          <w:b/>
          <w:sz w:val="32"/>
          <w:szCs w:val="32"/>
        </w:rPr>
        <w:t>农村地区落户条件。</w:t>
      </w:r>
      <w:r>
        <w:rPr>
          <w:rFonts w:hint="eastAsia" w:ascii="仿宋_GB2312" w:hAnsi="仿宋_GB2312" w:eastAsia="仿宋_GB2312" w:cs="仿宋_GB2312"/>
          <w:sz w:val="32"/>
          <w:szCs w:val="32"/>
        </w:rPr>
        <w:t>农村籍大中专院校毕业生、农村籍部队退役人员，</w:t>
      </w:r>
      <w:r>
        <w:rPr>
          <w:rFonts w:ascii="仿宋_GB2312" w:hAnsi="仿宋_GB2312" w:eastAsia="仿宋_GB2312" w:cs="仿宋_GB2312"/>
          <w:sz w:val="32"/>
          <w:szCs w:val="32"/>
        </w:rPr>
        <w:t>毕业后或退役后未发生户口迁移的，可以回原籍落户；</w:t>
      </w:r>
      <w:r>
        <w:rPr>
          <w:rFonts w:hint="eastAsia" w:ascii="仿宋_GB2312" w:hAnsi="仿宋_GB2312" w:eastAsia="仿宋_GB2312" w:cs="仿宋_GB2312"/>
          <w:sz w:val="32"/>
          <w:szCs w:val="32"/>
        </w:rPr>
        <w:t>对已经</w:t>
      </w:r>
      <w:r>
        <w:rPr>
          <w:rFonts w:ascii="仿宋_GB2312" w:hAnsi="仿宋_GB2312" w:eastAsia="仿宋_GB2312" w:cs="仿宋_GB2312"/>
          <w:sz w:val="32"/>
          <w:szCs w:val="32"/>
        </w:rPr>
        <w:t>发生</w:t>
      </w:r>
      <w:r>
        <w:rPr>
          <w:rFonts w:hint="eastAsia" w:ascii="仿宋_GB2312" w:hAnsi="仿宋_GB2312" w:eastAsia="仿宋_GB2312" w:cs="仿宋_GB2312"/>
          <w:sz w:val="32"/>
          <w:szCs w:val="32"/>
        </w:rPr>
        <w:t>户口迁移</w:t>
      </w:r>
      <w:r>
        <w:rPr>
          <w:rFonts w:ascii="仿宋_GB2312" w:hAnsi="仿宋_GB2312" w:eastAsia="仿宋_GB2312" w:cs="仿宋_GB2312"/>
          <w:sz w:val="32"/>
          <w:szCs w:val="32"/>
        </w:rPr>
        <w:t>的农村籍大学生、</w:t>
      </w:r>
      <w:r>
        <w:rPr>
          <w:rFonts w:hint="eastAsia" w:ascii="仿宋_GB2312" w:hAnsi="仿宋_GB2312" w:eastAsia="仿宋_GB2312" w:cs="仿宋_GB2312"/>
          <w:sz w:val="32"/>
          <w:szCs w:val="32"/>
        </w:rPr>
        <w:t>退伍</w:t>
      </w:r>
      <w:r>
        <w:rPr>
          <w:rFonts w:ascii="仿宋_GB2312" w:hAnsi="仿宋_GB2312" w:eastAsia="仿宋_GB2312" w:cs="仿宋_GB2312"/>
          <w:sz w:val="32"/>
          <w:szCs w:val="32"/>
        </w:rPr>
        <w:t>军人、科技人才</w:t>
      </w:r>
      <w:r>
        <w:rPr>
          <w:rFonts w:hint="eastAsia" w:ascii="仿宋_GB2312" w:hAnsi="仿宋_GB2312" w:eastAsia="仿宋_GB2312" w:cs="仿宋_GB2312"/>
          <w:sz w:val="32"/>
          <w:szCs w:val="32"/>
          <w:lang w:eastAsia="zh-CN"/>
        </w:rPr>
        <w:t>、创业人员</w:t>
      </w:r>
      <w:r>
        <w:rPr>
          <w:rFonts w:ascii="仿宋_GB2312" w:hAnsi="仿宋_GB2312" w:eastAsia="仿宋_GB2312" w:cs="仿宋_GB2312"/>
          <w:sz w:val="32"/>
          <w:szCs w:val="32"/>
        </w:rPr>
        <w:t>，申请返乡入乡落户的，综合考虑</w:t>
      </w:r>
      <w:r>
        <w:rPr>
          <w:rFonts w:hint="eastAsia" w:ascii="仿宋_GB2312" w:hAnsi="仿宋_GB2312" w:eastAsia="仿宋_GB2312" w:cs="仿宋_GB2312"/>
          <w:sz w:val="32"/>
          <w:szCs w:val="32"/>
        </w:rPr>
        <w:t>实际</w:t>
      </w:r>
      <w:r>
        <w:rPr>
          <w:rFonts w:ascii="仿宋_GB2312" w:hAnsi="仿宋_GB2312" w:eastAsia="仿宋_GB2312" w:cs="仿宋_GB2312"/>
          <w:sz w:val="32"/>
          <w:szCs w:val="32"/>
        </w:rPr>
        <w:t>居住、就业创业</w:t>
      </w:r>
      <w:r>
        <w:rPr>
          <w:rFonts w:hint="eastAsia" w:ascii="仿宋_GB2312" w:hAnsi="仿宋_GB2312" w:eastAsia="仿宋_GB2312" w:cs="仿宋_GB2312"/>
          <w:sz w:val="32"/>
          <w:szCs w:val="32"/>
        </w:rPr>
        <w:t>地等</w:t>
      </w:r>
      <w:r>
        <w:rPr>
          <w:rFonts w:ascii="仿宋_GB2312" w:hAnsi="仿宋_GB2312" w:eastAsia="仿宋_GB2312" w:cs="仿宋_GB2312"/>
          <w:sz w:val="32"/>
          <w:szCs w:val="32"/>
        </w:rPr>
        <w:t>情形，</w:t>
      </w:r>
      <w:r>
        <w:rPr>
          <w:rFonts w:hint="eastAsia" w:ascii="仿宋_GB2312" w:hAnsi="仿宋_GB2312" w:eastAsia="仿宋_GB2312" w:cs="仿宋_GB2312"/>
          <w:sz w:val="32"/>
          <w:szCs w:val="32"/>
        </w:rPr>
        <w:t>结合村民</w:t>
      </w:r>
      <w:r>
        <w:rPr>
          <w:rFonts w:ascii="仿宋_GB2312" w:hAnsi="仿宋_GB2312" w:eastAsia="仿宋_GB2312" w:cs="仿宋_GB2312"/>
          <w:sz w:val="32"/>
          <w:szCs w:val="32"/>
        </w:rPr>
        <w:t>自治意愿，允许迁入原籍地或者就业创业地落户。</w:t>
      </w:r>
    </w:p>
    <w:p w14:paraId="54C4F18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color w:val="000000" w:themeColor="text1"/>
          <w:sz w:val="32"/>
          <w:szCs w:val="32"/>
          <w14:textFill>
            <w14:solidFill>
              <w14:schemeClr w14:val="tx1"/>
            </w14:solidFill>
          </w14:textFill>
        </w:rPr>
      </w:pPr>
      <w:r>
        <w:rPr>
          <w:rFonts w:hint="eastAsia" w:ascii="楷体_GB2312" w:hAnsi="黑体" w:eastAsia="楷体_GB2312"/>
          <w:b/>
          <w:color w:val="000000" w:themeColor="text1"/>
          <w:sz w:val="32"/>
          <w:szCs w:val="32"/>
          <w14:textFill>
            <w14:solidFill>
              <w14:schemeClr w14:val="tx1"/>
            </w14:solidFill>
          </w14:textFill>
        </w:rPr>
        <w:t>（三）设立农村地区公共集体户。</w:t>
      </w:r>
      <w:r>
        <w:rPr>
          <w:rFonts w:hint="eastAsia" w:ascii="仿宋_GB2312" w:hAnsi="黑体" w:eastAsia="仿宋_GB2312"/>
          <w:color w:val="000000" w:themeColor="text1"/>
          <w:sz w:val="32"/>
          <w:szCs w:val="32"/>
          <w14:textFill>
            <w14:solidFill>
              <w14:schemeClr w14:val="tx1"/>
            </w14:solidFill>
          </w14:textFill>
        </w:rPr>
        <w:t>在农村实际居住生活的，拟将户口迁入我市农村地区的，以合法稳定住所</w:t>
      </w:r>
      <w:r>
        <w:rPr>
          <w:rFonts w:hint="eastAsia" w:ascii="仿宋_GB2312" w:hAnsi="黑体" w:eastAsia="仿宋_GB2312"/>
          <w:color w:val="000000" w:themeColor="text1"/>
          <w:sz w:val="32"/>
          <w:szCs w:val="32"/>
          <w:lang w:eastAsia="zh-CN"/>
          <w14:textFill>
            <w14:solidFill>
              <w14:schemeClr w14:val="tx1"/>
            </w14:solidFill>
          </w14:textFill>
        </w:rPr>
        <w:t>、合法稳定工作</w:t>
      </w:r>
      <w:r>
        <w:rPr>
          <w:rFonts w:hint="eastAsia" w:ascii="仿宋_GB2312" w:hAnsi="黑体" w:eastAsia="仿宋_GB2312"/>
          <w:color w:val="000000" w:themeColor="text1"/>
          <w:sz w:val="32"/>
          <w:szCs w:val="32"/>
          <w14:textFill>
            <w14:solidFill>
              <w14:schemeClr w14:val="tx1"/>
            </w14:solidFill>
          </w14:textFill>
        </w:rPr>
        <w:t>为基本条件，遵循“先家庭、后集体”的原则，有自有房屋（宅基地权）的，可以将户籍地址登记在自有房屋上，无自有房屋（宅基地权）的，可以将户籍登记在农村公共集体户上。</w:t>
      </w:r>
    </w:p>
    <w:p w14:paraId="184659C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四</w:t>
      </w:r>
      <w:r>
        <w:rPr>
          <w:rFonts w:ascii="黑体" w:hAnsi="黑体" w:eastAsia="黑体"/>
          <w:b/>
          <w:color w:val="000000" w:themeColor="text1"/>
          <w:sz w:val="32"/>
          <w:szCs w:val="32"/>
          <w14:textFill>
            <w14:solidFill>
              <w14:schemeClr w14:val="tx1"/>
            </w14:solidFill>
          </w14:textFill>
        </w:rPr>
        <w:t>、优化居住证政策</w:t>
      </w:r>
    </w:p>
    <w:p w14:paraId="2CF8812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黑体" w:eastAsia="仿宋_GB2312"/>
          <w:b/>
          <w:color w:val="000000" w:themeColor="text1"/>
          <w:sz w:val="32"/>
          <w:szCs w:val="32"/>
          <w14:textFill>
            <w14:solidFill>
              <w14:schemeClr w14:val="tx1"/>
            </w14:solidFill>
          </w14:textFill>
        </w:rPr>
      </w:pPr>
      <w:r>
        <w:rPr>
          <w:rFonts w:hint="eastAsia" w:ascii="楷体_GB2312" w:eastAsia="楷体_GB2312"/>
          <w:b/>
          <w:color w:val="000000" w:themeColor="text1"/>
          <w:sz w:val="32"/>
          <w:szCs w:val="32"/>
          <w14:textFill>
            <w14:solidFill>
              <w14:schemeClr w14:val="tx1"/>
            </w14:solidFill>
          </w14:textFill>
        </w:rPr>
        <w:t>（一）完善居住人申领条件。</w:t>
      </w:r>
      <w:r>
        <w:rPr>
          <w:rFonts w:hint="eastAsia" w:ascii="仿宋_GB2312" w:eastAsia="仿宋_GB2312"/>
          <w:color w:val="000000" w:themeColor="text1"/>
          <w:sz w:val="32"/>
          <w:szCs w:val="32"/>
          <w14:textFill>
            <w14:solidFill>
              <w14:schemeClr w14:val="tx1"/>
            </w14:solidFill>
          </w14:textFill>
        </w:rPr>
        <w:t>在居住地居住登记半年及以上，符合“合法稳定居住”“合法稳定就业”“连续就读”条件之一的流动人口，可以在居住地申领居住证；未满16周岁的未成年人，可凭共同居住的父母或法定监护人一方的居住证申领。</w:t>
      </w:r>
    </w:p>
    <w:p w14:paraId="21B0F4E9">
      <w:pPr>
        <w:keepNext w:val="0"/>
        <w:keepLines w:val="0"/>
        <w:pageBreakBefore w:val="0"/>
        <w:widowControl w:val="0"/>
        <w:kinsoku/>
        <w:wordWrap/>
        <w:overflowPunct/>
        <w:topLinePunct w:val="0"/>
        <w:autoSpaceDE/>
        <w:autoSpaceDN/>
        <w:bidi w:val="0"/>
        <w:adjustRightInd/>
        <w:snapToGrid/>
        <w:spacing w:line="560" w:lineRule="exact"/>
        <w:ind w:firstLine="645"/>
        <w:textAlignment w:val="auto"/>
        <w:rPr>
          <w:rFonts w:ascii="楷体_GB2312" w:hAnsi="黑体" w:eastAsia="楷体_GB2312"/>
          <w:b/>
          <w:sz w:val="32"/>
          <w:szCs w:val="32"/>
        </w:rPr>
      </w:pPr>
      <w:r>
        <w:rPr>
          <w:rFonts w:hint="eastAsia" w:ascii="楷体_GB2312" w:eastAsia="楷体_GB2312"/>
          <w:b/>
          <w:color w:val="000000" w:themeColor="text1"/>
          <w:sz w:val="32"/>
          <w:szCs w:val="32"/>
          <w14:textFill>
            <w14:solidFill>
              <w14:schemeClr w14:val="tx1"/>
            </w14:solidFill>
          </w14:textFill>
        </w:rPr>
        <w:t>（二）</w:t>
      </w:r>
      <w:r>
        <w:rPr>
          <w:rFonts w:hint="eastAsia" w:ascii="楷体_GB2312" w:hAnsi="黑体" w:eastAsia="楷体_GB2312"/>
          <w:b/>
          <w:sz w:val="32"/>
          <w:szCs w:val="32"/>
        </w:rPr>
        <w:t>增加居住证</w:t>
      </w:r>
      <w:r>
        <w:rPr>
          <w:rFonts w:ascii="楷体_GB2312" w:hAnsi="黑体" w:eastAsia="楷体_GB2312"/>
          <w:b/>
          <w:sz w:val="32"/>
          <w:szCs w:val="32"/>
        </w:rPr>
        <w:t>持有人权利</w:t>
      </w:r>
      <w:r>
        <w:rPr>
          <w:rFonts w:hint="eastAsia" w:ascii="楷体_GB2312" w:hAnsi="黑体" w:eastAsia="楷体_GB2312"/>
          <w:b/>
          <w:sz w:val="32"/>
          <w:szCs w:val="32"/>
        </w:rPr>
        <w:t>。</w:t>
      </w:r>
      <w:r>
        <w:rPr>
          <w:rFonts w:hint="eastAsia" w:ascii="仿宋_GB2312" w:hAnsi="黑体" w:eastAsia="仿宋_GB2312"/>
          <w:sz w:val="32"/>
          <w:szCs w:val="32"/>
        </w:rPr>
        <w:t>探索居住证跨旗区和市内通迁互认转换，积极推动以居住证为载体的城镇基本公共服务在常住人口中全覆盖，</w:t>
      </w:r>
      <w:r>
        <w:rPr>
          <w:rFonts w:ascii="仿宋_GB2312" w:hAnsi="黑体" w:eastAsia="仿宋_GB2312"/>
          <w:sz w:val="32"/>
          <w:szCs w:val="32"/>
        </w:rPr>
        <w:t>健全完善与居住证挂钩的优质公共服务供给机制。</w:t>
      </w:r>
    </w:p>
    <w:p w14:paraId="6F61BCD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五</w:t>
      </w:r>
      <w:r>
        <w:rPr>
          <w:rFonts w:ascii="黑体" w:hAnsi="黑体" w:eastAsia="黑体"/>
          <w:b/>
          <w:color w:val="000000" w:themeColor="text1"/>
          <w:sz w:val="32"/>
          <w:szCs w:val="32"/>
          <w14:textFill>
            <w14:solidFill>
              <w14:schemeClr w14:val="tx1"/>
            </w14:solidFill>
          </w14:textFill>
        </w:rPr>
        <w:t>、工作要求</w:t>
      </w:r>
    </w:p>
    <w:p w14:paraId="6077ED4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color w:val="000000" w:themeColor="text1"/>
          <w:sz w:val="32"/>
          <w:szCs w:val="32"/>
          <w14:textFill>
            <w14:solidFill>
              <w14:schemeClr w14:val="tx1"/>
            </w14:solidFill>
          </w14:textFill>
        </w:rPr>
      </w:pPr>
      <w:r>
        <w:rPr>
          <w:rFonts w:hint="eastAsia" w:ascii="楷体_GB2312" w:hAnsi="黑体" w:eastAsia="楷体_GB2312"/>
          <w:b/>
          <w:color w:val="000000" w:themeColor="text1"/>
          <w:sz w:val="32"/>
          <w:szCs w:val="32"/>
          <w14:textFill>
            <w14:solidFill>
              <w14:schemeClr w14:val="tx1"/>
            </w14:solidFill>
          </w14:textFill>
        </w:rPr>
        <w:t>（一）加强组织领导。</w:t>
      </w:r>
      <w:r>
        <w:rPr>
          <w:rFonts w:hint="eastAsia" w:ascii="仿宋_GB2312" w:hAnsi="黑体" w:eastAsia="仿宋_GB2312"/>
          <w:color w:val="000000" w:themeColor="text1"/>
          <w:sz w:val="32"/>
          <w:szCs w:val="32"/>
          <w14:textFill>
            <w14:solidFill>
              <w14:schemeClr w14:val="tx1"/>
            </w14:solidFill>
          </w14:textFill>
        </w:rPr>
        <w:t>户籍制度改革政策性强，社会关注度高，关系广大人民群众切身利益。各旗区、各部门要充分认识深化户籍制度改革的重要意义，进一步统一思想，加强领导，周密部署，积极稳妥推进，切实落实户籍制度改革的各项政策措施，防止急于求成、运动式推进。</w:t>
      </w:r>
    </w:p>
    <w:p w14:paraId="7E55032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color w:val="000000" w:themeColor="text1"/>
          <w:sz w:val="32"/>
          <w:szCs w:val="32"/>
          <w14:textFill>
            <w14:solidFill>
              <w14:schemeClr w14:val="tx1"/>
            </w14:solidFill>
          </w14:textFill>
        </w:rPr>
      </w:pPr>
      <w:r>
        <w:rPr>
          <w:rFonts w:hint="eastAsia" w:ascii="楷体_GB2312" w:hAnsi="黑体" w:eastAsia="楷体_GB2312"/>
          <w:b/>
          <w:color w:val="000000" w:themeColor="text1"/>
          <w:sz w:val="32"/>
          <w:szCs w:val="32"/>
          <w14:textFill>
            <w14:solidFill>
              <w14:schemeClr w14:val="tx1"/>
            </w14:solidFill>
          </w14:textFill>
        </w:rPr>
        <w:t>（二）强化合力推进。</w:t>
      </w:r>
      <w:r>
        <w:rPr>
          <w:rFonts w:ascii="仿宋_GB2312" w:hAnsi="黑体" w:eastAsia="仿宋_GB2312"/>
          <w:color w:val="000000" w:themeColor="text1"/>
          <w:sz w:val="32"/>
          <w:szCs w:val="32"/>
          <w14:textFill>
            <w14:solidFill>
              <w14:schemeClr w14:val="tx1"/>
            </w14:solidFill>
          </w14:textFill>
        </w:rPr>
        <w:t>各</w:t>
      </w:r>
      <w:r>
        <w:rPr>
          <w:rFonts w:hint="eastAsia" w:ascii="仿宋_GB2312" w:hAnsi="黑体" w:eastAsia="仿宋_GB2312"/>
          <w:color w:val="000000" w:themeColor="text1"/>
          <w:sz w:val="32"/>
          <w:szCs w:val="32"/>
          <w14:textFill>
            <w14:solidFill>
              <w14:schemeClr w14:val="tx1"/>
            </w14:solidFill>
          </w14:textFill>
        </w:rPr>
        <w:t>旗区、</w:t>
      </w:r>
      <w:r>
        <w:rPr>
          <w:rFonts w:ascii="仿宋_GB2312" w:hAnsi="黑体" w:eastAsia="仿宋_GB2312"/>
          <w:color w:val="000000" w:themeColor="text1"/>
          <w:sz w:val="32"/>
          <w:szCs w:val="32"/>
          <w14:textFill>
            <w14:solidFill>
              <w14:schemeClr w14:val="tx1"/>
            </w14:solidFill>
          </w14:textFill>
        </w:rPr>
        <w:t>各部门要分工负责、通力合作。</w:t>
      </w:r>
      <w:r>
        <w:rPr>
          <w:rFonts w:hint="eastAsia" w:ascii="仿宋_GB2312" w:hAnsi="黑体" w:eastAsia="仿宋_GB2312"/>
          <w:color w:val="000000" w:themeColor="text1"/>
          <w:sz w:val="32"/>
          <w:szCs w:val="32"/>
          <w14:textFill>
            <w14:solidFill>
              <w14:schemeClr w14:val="tx1"/>
            </w14:solidFill>
          </w14:textFill>
        </w:rPr>
        <w:t>公安</w:t>
      </w:r>
      <w:r>
        <w:rPr>
          <w:rFonts w:ascii="仿宋_GB2312" w:hAnsi="黑体" w:eastAsia="仿宋_GB2312"/>
          <w:color w:val="000000" w:themeColor="text1"/>
          <w:sz w:val="32"/>
          <w:szCs w:val="32"/>
          <w14:textFill>
            <w14:solidFill>
              <w14:schemeClr w14:val="tx1"/>
            </w14:solidFill>
          </w14:textFill>
        </w:rPr>
        <w:t>机关要会同有关部门加强统筹协调、跟踪</w:t>
      </w:r>
      <w:r>
        <w:rPr>
          <w:rFonts w:hint="eastAsia" w:ascii="仿宋_GB2312" w:hAnsi="黑体" w:eastAsia="仿宋_GB2312"/>
          <w:color w:val="000000" w:themeColor="text1"/>
          <w:sz w:val="32"/>
          <w:szCs w:val="32"/>
          <w14:textFill>
            <w14:solidFill>
              <w14:schemeClr w14:val="tx1"/>
            </w14:solidFill>
          </w14:textFill>
        </w:rPr>
        <w:t>评估</w:t>
      </w:r>
      <w:r>
        <w:rPr>
          <w:rFonts w:ascii="仿宋_GB2312" w:hAnsi="黑体" w:eastAsia="仿宋_GB2312"/>
          <w:color w:val="000000" w:themeColor="text1"/>
          <w:sz w:val="32"/>
          <w:szCs w:val="32"/>
          <w14:textFill>
            <w14:solidFill>
              <w14:schemeClr w14:val="tx1"/>
            </w14:solidFill>
          </w14:textFill>
        </w:rPr>
        <w:t>和</w:t>
      </w:r>
      <w:r>
        <w:rPr>
          <w:rFonts w:hint="eastAsia" w:ascii="仿宋_GB2312" w:hAnsi="黑体" w:eastAsia="仿宋_GB2312"/>
          <w:color w:val="000000" w:themeColor="text1"/>
          <w:sz w:val="32"/>
          <w:szCs w:val="32"/>
          <w14:textFill>
            <w14:solidFill>
              <w14:schemeClr w14:val="tx1"/>
            </w14:solidFill>
          </w14:textFill>
        </w:rPr>
        <w:t>督查</w:t>
      </w:r>
      <w:r>
        <w:rPr>
          <w:rFonts w:ascii="仿宋_GB2312" w:hAnsi="黑体" w:eastAsia="仿宋_GB2312"/>
          <w:color w:val="000000" w:themeColor="text1"/>
          <w:sz w:val="32"/>
          <w:szCs w:val="32"/>
          <w14:textFill>
            <w14:solidFill>
              <w14:schemeClr w14:val="tx1"/>
            </w14:solidFill>
          </w14:textFill>
        </w:rPr>
        <w:t>指导，认真做好新旧政策</w:t>
      </w:r>
      <w:r>
        <w:rPr>
          <w:rFonts w:hint="eastAsia" w:ascii="仿宋_GB2312" w:hAnsi="黑体" w:eastAsia="仿宋_GB2312"/>
          <w:color w:val="000000" w:themeColor="text1"/>
          <w:sz w:val="32"/>
          <w:szCs w:val="32"/>
          <w14:textFill>
            <w14:solidFill>
              <w14:schemeClr w14:val="tx1"/>
            </w14:solidFill>
          </w14:textFill>
        </w:rPr>
        <w:t>措施</w:t>
      </w:r>
      <w:r>
        <w:rPr>
          <w:rFonts w:ascii="仿宋_GB2312" w:hAnsi="黑体" w:eastAsia="仿宋_GB2312"/>
          <w:color w:val="000000" w:themeColor="text1"/>
          <w:sz w:val="32"/>
          <w:szCs w:val="32"/>
          <w14:textFill>
            <w14:solidFill>
              <w14:schemeClr w14:val="tx1"/>
            </w14:solidFill>
          </w14:textFill>
        </w:rPr>
        <w:t>的衔接，把握好过渡期，</w:t>
      </w:r>
      <w:r>
        <w:rPr>
          <w:rFonts w:hint="eastAsia" w:ascii="仿宋_GB2312" w:hAnsi="黑体" w:eastAsia="仿宋_GB2312"/>
          <w:color w:val="000000" w:themeColor="text1"/>
          <w:sz w:val="32"/>
          <w:szCs w:val="32"/>
          <w14:textFill>
            <w14:solidFill>
              <w14:schemeClr w14:val="tx1"/>
            </w14:solidFill>
          </w14:textFill>
        </w:rPr>
        <w:t>规范</w:t>
      </w:r>
      <w:r>
        <w:rPr>
          <w:rFonts w:ascii="仿宋_GB2312" w:hAnsi="黑体" w:eastAsia="仿宋_GB2312"/>
          <w:color w:val="000000" w:themeColor="text1"/>
          <w:sz w:val="32"/>
          <w:szCs w:val="32"/>
          <w14:textFill>
            <w14:solidFill>
              <w14:schemeClr w14:val="tx1"/>
            </w14:solidFill>
          </w14:textFill>
        </w:rPr>
        <w:t>有序推进各项改革任务落到实处。发改、人社、教</w:t>
      </w:r>
      <w:r>
        <w:rPr>
          <w:rFonts w:hint="eastAsia" w:ascii="仿宋_GB2312" w:hAnsi="黑体" w:eastAsia="仿宋_GB2312"/>
          <w:color w:val="000000" w:themeColor="text1"/>
          <w:sz w:val="32"/>
          <w:szCs w:val="32"/>
          <w14:textFill>
            <w14:solidFill>
              <w14:schemeClr w14:val="tx1"/>
            </w14:solidFill>
          </w14:textFill>
        </w:rPr>
        <w:t>体</w:t>
      </w:r>
      <w:r>
        <w:rPr>
          <w:rFonts w:ascii="仿宋_GB2312" w:hAnsi="黑体" w:eastAsia="仿宋_GB2312"/>
          <w:color w:val="000000" w:themeColor="text1"/>
          <w:sz w:val="32"/>
          <w:szCs w:val="32"/>
          <w14:textFill>
            <w14:solidFill>
              <w14:schemeClr w14:val="tx1"/>
            </w14:solidFill>
          </w14:textFill>
        </w:rPr>
        <w:t>、住建、卫健、民政、农牧、</w:t>
      </w:r>
      <w:r>
        <w:rPr>
          <w:rFonts w:hint="eastAsia" w:ascii="仿宋_GB2312" w:hAnsi="黑体" w:eastAsia="仿宋_GB2312"/>
          <w:color w:val="000000" w:themeColor="text1"/>
          <w:sz w:val="32"/>
          <w:szCs w:val="32"/>
          <w14:textFill>
            <w14:solidFill>
              <w14:schemeClr w14:val="tx1"/>
            </w14:solidFill>
          </w14:textFill>
        </w:rPr>
        <w:t>林草</w:t>
      </w:r>
      <w:r>
        <w:rPr>
          <w:rFonts w:ascii="仿宋_GB2312" w:hAnsi="黑体" w:eastAsia="仿宋_GB2312"/>
          <w:color w:val="000000" w:themeColor="text1"/>
          <w:sz w:val="32"/>
          <w:szCs w:val="32"/>
          <w14:textFill>
            <w14:solidFill>
              <w14:schemeClr w14:val="tx1"/>
            </w14:solidFill>
          </w14:textFill>
        </w:rPr>
        <w:t>、财政、</w:t>
      </w:r>
      <w:r>
        <w:rPr>
          <w:rFonts w:hint="eastAsia" w:ascii="仿宋_GB2312" w:hAnsi="黑体" w:eastAsia="仿宋_GB2312"/>
          <w:color w:val="000000" w:themeColor="text1"/>
          <w:sz w:val="32"/>
          <w:szCs w:val="32"/>
          <w14:textFill>
            <w14:solidFill>
              <w14:schemeClr w14:val="tx1"/>
            </w14:solidFill>
          </w14:textFill>
        </w:rPr>
        <w:t>国土</w:t>
      </w:r>
      <w:r>
        <w:rPr>
          <w:rFonts w:ascii="仿宋_GB2312" w:hAnsi="黑体" w:eastAsia="仿宋_GB2312"/>
          <w:color w:val="000000" w:themeColor="text1"/>
          <w:sz w:val="32"/>
          <w:szCs w:val="32"/>
          <w14:textFill>
            <w14:solidFill>
              <w14:schemeClr w14:val="tx1"/>
            </w14:solidFill>
          </w14:textFill>
        </w:rPr>
        <w:t>、自然资源等部门要抓紧制定</w:t>
      </w:r>
      <w:r>
        <w:rPr>
          <w:rFonts w:hint="eastAsia" w:ascii="仿宋_GB2312" w:hAnsi="黑体" w:eastAsia="仿宋_GB2312"/>
          <w:color w:val="000000" w:themeColor="text1"/>
          <w:sz w:val="32"/>
          <w:szCs w:val="32"/>
          <w14:textFill>
            <w14:solidFill>
              <w14:schemeClr w14:val="tx1"/>
            </w14:solidFill>
          </w14:textFill>
        </w:rPr>
        <w:t>相关</w:t>
      </w:r>
      <w:r>
        <w:rPr>
          <w:rFonts w:ascii="仿宋_GB2312" w:hAnsi="黑体" w:eastAsia="仿宋_GB2312"/>
          <w:color w:val="000000" w:themeColor="text1"/>
          <w:sz w:val="32"/>
          <w:szCs w:val="32"/>
          <w14:textFill>
            <w14:solidFill>
              <w14:schemeClr w14:val="tx1"/>
            </w14:solidFill>
          </w14:textFill>
        </w:rPr>
        <w:t>配套政策；</w:t>
      </w:r>
      <w:r>
        <w:rPr>
          <w:rFonts w:hint="eastAsia" w:ascii="仿宋_GB2312" w:hAnsi="黑体" w:eastAsia="仿宋_GB2312"/>
          <w:color w:val="000000" w:themeColor="text1"/>
          <w:sz w:val="32"/>
          <w:szCs w:val="32"/>
          <w14:textFill>
            <w14:solidFill>
              <w14:schemeClr w14:val="tx1"/>
            </w14:solidFill>
          </w14:textFill>
        </w:rPr>
        <w:t>各旗区要</w:t>
      </w:r>
      <w:r>
        <w:rPr>
          <w:rFonts w:ascii="仿宋_GB2312" w:hAnsi="黑体" w:eastAsia="仿宋_GB2312"/>
          <w:color w:val="000000" w:themeColor="text1"/>
          <w:sz w:val="32"/>
          <w:szCs w:val="32"/>
          <w14:textFill>
            <w14:solidFill>
              <w14:schemeClr w14:val="tx1"/>
            </w14:solidFill>
          </w14:textFill>
        </w:rPr>
        <w:t>结合实际</w:t>
      </w:r>
      <w:r>
        <w:rPr>
          <w:rFonts w:hint="eastAsia" w:ascii="仿宋_GB2312" w:hAnsi="黑体" w:eastAsia="仿宋_GB2312"/>
          <w:color w:val="000000" w:themeColor="text1"/>
          <w:sz w:val="32"/>
          <w:szCs w:val="32"/>
          <w14:textFill>
            <w14:solidFill>
              <w14:schemeClr w14:val="tx1"/>
            </w14:solidFill>
          </w14:textFill>
        </w:rPr>
        <w:t>研究细化具体可操作的户籍</w:t>
      </w:r>
      <w:r>
        <w:rPr>
          <w:rFonts w:ascii="仿宋_GB2312" w:hAnsi="黑体" w:eastAsia="仿宋_GB2312"/>
          <w:color w:val="000000" w:themeColor="text1"/>
          <w:sz w:val="32"/>
          <w:szCs w:val="32"/>
          <w14:textFill>
            <w14:solidFill>
              <w14:schemeClr w14:val="tx1"/>
            </w14:solidFill>
          </w14:textFill>
        </w:rPr>
        <w:t>制度改革配套措施。</w:t>
      </w:r>
    </w:p>
    <w:p w14:paraId="70A3B72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color w:val="000000" w:themeColor="text1"/>
          <w:sz w:val="32"/>
          <w:szCs w:val="32"/>
          <w14:textFill>
            <w14:solidFill>
              <w14:schemeClr w14:val="tx1"/>
            </w14:solidFill>
          </w14:textFill>
        </w:rPr>
      </w:pPr>
      <w:r>
        <w:rPr>
          <w:rFonts w:hint="eastAsia" w:ascii="楷体_GB2312" w:hAnsi="黑体" w:eastAsia="楷体_GB2312"/>
          <w:b/>
          <w:color w:val="000000" w:themeColor="text1"/>
          <w:sz w:val="32"/>
          <w:szCs w:val="32"/>
          <w14:textFill>
            <w14:solidFill>
              <w14:schemeClr w14:val="tx1"/>
            </w14:solidFill>
          </w14:textFill>
        </w:rPr>
        <w:t>（三）强化宣传引导。</w:t>
      </w:r>
      <w:r>
        <w:rPr>
          <w:rFonts w:hint="eastAsia" w:ascii="仿宋_GB2312" w:hAnsi="黑体" w:eastAsia="仿宋_GB2312"/>
          <w:color w:val="000000" w:themeColor="text1"/>
          <w:sz w:val="32"/>
          <w:szCs w:val="32"/>
          <w14:textFill>
            <w14:solidFill>
              <w14:schemeClr w14:val="tx1"/>
            </w14:solidFill>
          </w14:textFill>
        </w:rPr>
        <w:t>各旗区、各部门要坚持正确舆论导向，全面阐释进一步推进户籍制度改革的重大意义，准确解读户籍制度改革及相关配套政策。大力宣传各地在解决群众实际困难、保障群众合法权益等方面好经验、好做法，合理引导社会预期，回应群众关切，凝聚各方共识，形成共同推进改革的良好社会氛围。</w:t>
      </w:r>
    </w:p>
    <w:p w14:paraId="3511408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黑体" w:eastAsia="仿宋_GB2312"/>
          <w:color w:val="000000" w:themeColor="text1"/>
          <w:sz w:val="32"/>
          <w:szCs w:val="32"/>
          <w14:textFill>
            <w14:solidFill>
              <w14:schemeClr w14:val="tx1"/>
            </w14:solidFill>
          </w14:textFill>
        </w:rPr>
      </w:pPr>
      <w:r>
        <w:rPr>
          <w:rFonts w:hint="eastAsia" w:ascii="楷体_GB2312" w:hAnsi="黑体" w:eastAsia="楷体_GB2312"/>
          <w:b/>
          <w:color w:val="000000" w:themeColor="text1"/>
          <w:sz w:val="32"/>
          <w:szCs w:val="32"/>
          <w14:textFill>
            <w14:solidFill>
              <w14:schemeClr w14:val="tx1"/>
            </w14:solidFill>
          </w14:textFill>
        </w:rPr>
        <w:t>（四）强化监督管理。</w:t>
      </w:r>
      <w:r>
        <w:rPr>
          <w:rFonts w:ascii="仿宋_GB2312" w:hAnsi="黑体" w:eastAsia="仿宋_GB2312"/>
          <w:color w:val="000000" w:themeColor="text1"/>
          <w:sz w:val="32"/>
          <w:szCs w:val="32"/>
          <w14:textFill>
            <w14:solidFill>
              <w14:schemeClr w14:val="tx1"/>
            </w14:solidFill>
          </w14:textFill>
        </w:rPr>
        <w:t>如申请人提供虚假信息、作出虚假承诺、提供变造</w:t>
      </w:r>
      <w:r>
        <w:rPr>
          <w:rFonts w:hint="eastAsia" w:ascii="仿宋_GB2312" w:hAnsi="黑体" w:eastAsia="仿宋_GB2312"/>
          <w:color w:val="000000" w:themeColor="text1"/>
          <w:sz w:val="32"/>
          <w:szCs w:val="32"/>
          <w14:textFill>
            <w14:solidFill>
              <w14:schemeClr w14:val="tx1"/>
            </w14:solidFill>
          </w14:textFill>
        </w:rPr>
        <w:t>、</w:t>
      </w:r>
      <w:r>
        <w:rPr>
          <w:rFonts w:ascii="仿宋_GB2312" w:hAnsi="黑体" w:eastAsia="仿宋_GB2312"/>
          <w:color w:val="000000" w:themeColor="text1"/>
          <w:sz w:val="32"/>
          <w:szCs w:val="32"/>
          <w14:textFill>
            <w14:solidFill>
              <w14:schemeClr w14:val="tx1"/>
            </w14:solidFill>
          </w14:textFill>
        </w:rPr>
        <w:t>伪造或虚假材料的，经公安、</w:t>
      </w:r>
      <w:r>
        <w:rPr>
          <w:rFonts w:hint="eastAsia" w:ascii="仿宋_GB2312" w:hAnsi="黑体" w:eastAsia="仿宋_GB2312"/>
          <w:color w:val="000000" w:themeColor="text1"/>
          <w:sz w:val="32"/>
          <w:szCs w:val="32"/>
          <w14:textFill>
            <w14:solidFill>
              <w14:schemeClr w14:val="tx1"/>
            </w14:solidFill>
          </w14:textFill>
        </w:rPr>
        <w:t>人社</w:t>
      </w:r>
      <w:r>
        <w:rPr>
          <w:rFonts w:ascii="仿宋_GB2312" w:hAnsi="黑体" w:eastAsia="仿宋_GB2312"/>
          <w:color w:val="000000" w:themeColor="text1"/>
          <w:sz w:val="32"/>
          <w:szCs w:val="32"/>
          <w14:textFill>
            <w14:solidFill>
              <w14:schemeClr w14:val="tx1"/>
            </w14:solidFill>
          </w14:textFill>
        </w:rPr>
        <w:t>等部门</w:t>
      </w:r>
      <w:r>
        <w:rPr>
          <w:rFonts w:hint="eastAsia" w:ascii="仿宋_GB2312" w:hAnsi="黑体" w:eastAsia="仿宋_GB2312"/>
          <w:color w:val="000000" w:themeColor="text1"/>
          <w:sz w:val="32"/>
          <w:szCs w:val="32"/>
          <w14:textFill>
            <w14:solidFill>
              <w14:schemeClr w14:val="tx1"/>
            </w14:solidFill>
          </w14:textFill>
        </w:rPr>
        <w:t>审查</w:t>
      </w:r>
      <w:r>
        <w:rPr>
          <w:rFonts w:ascii="仿宋_GB2312" w:hAnsi="黑体" w:eastAsia="仿宋_GB2312"/>
          <w:color w:val="000000" w:themeColor="text1"/>
          <w:sz w:val="32"/>
          <w:szCs w:val="32"/>
          <w14:textFill>
            <w14:solidFill>
              <w14:schemeClr w14:val="tx1"/>
            </w14:solidFill>
          </w14:textFill>
        </w:rPr>
        <w:t>核实，终止其入户办理</w:t>
      </w:r>
      <w:r>
        <w:rPr>
          <w:rFonts w:hint="eastAsia" w:ascii="仿宋_GB2312" w:hAnsi="黑体" w:eastAsia="仿宋_GB2312"/>
          <w:color w:val="000000" w:themeColor="text1"/>
          <w:sz w:val="32"/>
          <w:szCs w:val="32"/>
          <w14:textFill>
            <w14:solidFill>
              <w14:schemeClr w14:val="tx1"/>
            </w14:solidFill>
          </w14:textFill>
        </w:rPr>
        <w:t>；</w:t>
      </w:r>
      <w:r>
        <w:rPr>
          <w:rFonts w:ascii="仿宋_GB2312" w:hAnsi="黑体" w:eastAsia="仿宋_GB2312"/>
          <w:color w:val="000000" w:themeColor="text1"/>
          <w:sz w:val="32"/>
          <w:szCs w:val="32"/>
          <w14:textFill>
            <w14:solidFill>
              <w14:schemeClr w14:val="tx1"/>
            </w14:solidFill>
          </w14:textFill>
        </w:rPr>
        <w:t>已经入户的，公安部门按照户口管理有关规定予以注销，将户口退回原户口迁出地，</w:t>
      </w:r>
      <w:r>
        <w:rPr>
          <w:rFonts w:hint="eastAsia" w:ascii="仿宋_GB2312" w:hAnsi="黑体" w:eastAsia="仿宋_GB2312"/>
          <w:color w:val="000000" w:themeColor="text1"/>
          <w:sz w:val="32"/>
          <w:szCs w:val="32"/>
          <w14:textFill>
            <w14:solidFill>
              <w14:schemeClr w14:val="tx1"/>
            </w14:solidFill>
          </w14:textFill>
        </w:rPr>
        <w:t>同时</w:t>
      </w:r>
      <w:r>
        <w:rPr>
          <w:rFonts w:ascii="仿宋_GB2312" w:hAnsi="黑体" w:eastAsia="仿宋_GB2312"/>
          <w:color w:val="000000" w:themeColor="text1"/>
          <w:sz w:val="32"/>
          <w:szCs w:val="32"/>
          <w14:textFill>
            <w14:solidFill>
              <w14:schemeClr w14:val="tx1"/>
            </w14:solidFill>
          </w14:textFill>
        </w:rPr>
        <w:t>通报相关部门取消申请人及随迁人员按户籍资格获得的我市相关公共服务及待遇。</w:t>
      </w:r>
    </w:p>
    <w:p w14:paraId="4F68B6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黑体" w:eastAsia="仿宋_GB2312"/>
          <w:color w:val="000000" w:themeColor="text1"/>
          <w:sz w:val="32"/>
          <w:szCs w:val="32"/>
          <w14:textFill>
            <w14:solidFill>
              <w14:schemeClr w14:val="tx1"/>
            </w14:solidFill>
          </w14:textFill>
        </w:rPr>
      </w:pPr>
      <w:r>
        <w:rPr>
          <w:rFonts w:hint="eastAsia" w:ascii="仿宋_GB2312" w:hAnsi="黑体" w:eastAsia="仿宋_GB2312"/>
          <w:color w:val="000000" w:themeColor="text1"/>
          <w:sz w:val="32"/>
          <w:szCs w:val="32"/>
          <w14:textFill>
            <w14:solidFill>
              <w14:schemeClr w14:val="tx1"/>
            </w14:solidFill>
          </w14:textFill>
        </w:rPr>
        <w:t>本</w:t>
      </w:r>
      <w:r>
        <w:rPr>
          <w:rFonts w:ascii="仿宋_GB2312" w:hAnsi="黑体" w:eastAsia="仿宋_GB2312"/>
          <w:color w:val="000000" w:themeColor="text1"/>
          <w:sz w:val="32"/>
          <w:szCs w:val="32"/>
          <w14:textFill>
            <w14:solidFill>
              <w14:schemeClr w14:val="tx1"/>
            </w14:solidFill>
          </w14:textFill>
        </w:rPr>
        <w:t>意见自</w:t>
      </w:r>
      <w:r>
        <w:rPr>
          <w:rFonts w:hint="eastAsia" w:ascii="仿宋_GB2312" w:hAnsi="黑体" w:eastAsia="仿宋_GB2312"/>
          <w:color w:val="000000" w:themeColor="text1"/>
          <w:sz w:val="32"/>
          <w:szCs w:val="32"/>
          <w14:textFill>
            <w14:solidFill>
              <w14:schemeClr w14:val="tx1"/>
            </w14:solidFill>
          </w14:textFill>
        </w:rPr>
        <w:t>2025年</w:t>
      </w:r>
      <w:r>
        <w:rPr>
          <w:rFonts w:ascii="仿宋_GB2312" w:hAnsi="黑体" w:eastAsia="仿宋_GB2312"/>
          <w:color w:val="000000" w:themeColor="text1"/>
          <w:sz w:val="32"/>
          <w:szCs w:val="32"/>
          <w14:textFill>
            <w14:solidFill>
              <w14:schemeClr w14:val="tx1"/>
            </w14:solidFill>
          </w14:textFill>
        </w:rPr>
        <w:t>×月×日起施行，由市公安局牵头组织实施。前</w:t>
      </w:r>
      <w:r>
        <w:rPr>
          <w:rFonts w:hint="eastAsia" w:ascii="仿宋_GB2312" w:hAnsi="黑体" w:eastAsia="仿宋_GB2312"/>
          <w:color w:val="000000" w:themeColor="text1"/>
          <w:sz w:val="32"/>
          <w:szCs w:val="32"/>
          <w14:textFill>
            <w14:solidFill>
              <w14:schemeClr w14:val="tx1"/>
            </w14:solidFill>
          </w14:textFill>
        </w:rPr>
        <w:t>发文件</w:t>
      </w:r>
      <w:r>
        <w:rPr>
          <w:rFonts w:ascii="仿宋_GB2312" w:hAnsi="黑体" w:eastAsia="仿宋_GB2312"/>
          <w:color w:val="000000" w:themeColor="text1"/>
          <w:sz w:val="32"/>
          <w:szCs w:val="32"/>
          <w14:textFill>
            <w14:solidFill>
              <w14:schemeClr w14:val="tx1"/>
            </w14:solidFill>
          </w14:textFill>
        </w:rPr>
        <w:t>与本意见内容不一致的，以本意见为准；本意见</w:t>
      </w:r>
      <w:r>
        <w:rPr>
          <w:rFonts w:hint="eastAsia" w:ascii="仿宋_GB2312" w:hAnsi="黑体" w:eastAsia="仿宋_GB2312"/>
          <w:color w:val="000000" w:themeColor="text1"/>
          <w:sz w:val="32"/>
          <w:szCs w:val="32"/>
          <w14:textFill>
            <w14:solidFill>
              <w14:schemeClr w14:val="tx1"/>
            </w14:solidFill>
          </w14:textFill>
        </w:rPr>
        <w:t>未</w:t>
      </w:r>
      <w:r>
        <w:rPr>
          <w:rFonts w:ascii="仿宋_GB2312" w:hAnsi="黑体" w:eastAsia="仿宋_GB2312"/>
          <w:color w:val="000000" w:themeColor="text1"/>
          <w:sz w:val="32"/>
          <w:szCs w:val="32"/>
          <w14:textFill>
            <w14:solidFill>
              <w14:schemeClr w14:val="tx1"/>
            </w14:solidFill>
          </w14:textFill>
        </w:rPr>
        <w:t>涉及事项根据国家、自治</w:t>
      </w:r>
      <w:r>
        <w:rPr>
          <w:rFonts w:hint="eastAsia" w:ascii="仿宋_GB2312" w:hAnsi="黑体" w:eastAsia="仿宋_GB2312"/>
          <w:color w:val="000000" w:themeColor="text1"/>
          <w:sz w:val="32"/>
          <w:szCs w:val="32"/>
          <w14:textFill>
            <w14:solidFill>
              <w14:schemeClr w14:val="tx1"/>
            </w14:solidFill>
          </w14:textFill>
        </w:rPr>
        <w:t>区</w:t>
      </w:r>
      <w:r>
        <w:rPr>
          <w:rFonts w:ascii="仿宋_GB2312" w:hAnsi="黑体" w:eastAsia="仿宋_GB2312"/>
          <w:color w:val="000000" w:themeColor="text1"/>
          <w:sz w:val="32"/>
          <w:szCs w:val="32"/>
          <w14:textFill>
            <w14:solidFill>
              <w14:schemeClr w14:val="tx1"/>
            </w14:solidFill>
          </w14:textFill>
        </w:rPr>
        <w:t>、市现行相关政策办理。</w:t>
      </w:r>
    </w:p>
    <w:sectPr>
      <w:footerReference r:id="rId3" w:type="default"/>
      <w:pgSz w:w="11906" w:h="16838"/>
      <w:pgMar w:top="2098" w:right="1474" w:bottom="1985" w:left="1588"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汉仪中宋简">
    <w:altName w:val="宋体"/>
    <w:panose1 w:val="00000000000000000000"/>
    <w:charset w:val="00"/>
    <w:family w:val="auto"/>
    <w:pitch w:val="default"/>
    <w:sig w:usb0="00000000" w:usb1="00000000" w:usb2="00000000" w:usb3="00000000" w:csb0="00000000"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简体">
    <w:altName w:val="黑体"/>
    <w:panose1 w:val="02000000000000000000"/>
    <w:charset w:val="86"/>
    <w:family w:val="script"/>
    <w:pitch w:val="default"/>
    <w:sig w:usb0="00000000" w:usb1="00000000" w:usb2="00000012"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1C397">
    <w:pPr>
      <w:pStyle w:val="3"/>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5CD764">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15CD764">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v:textbox>
            </v:shape>
          </w:pict>
        </mc:Fallback>
      </mc:AlternateContent>
    </w:r>
  </w:p>
  <w:p w14:paraId="5CE03565">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RlNjAzNGE1OWNlODkyNmIzYzlmYzAwZDY4NzU3MmEifQ=="/>
  </w:docVars>
  <w:rsids>
    <w:rsidRoot w:val="00AE0CB2"/>
    <w:rsid w:val="0000143C"/>
    <w:rsid w:val="00002434"/>
    <w:rsid w:val="000412AC"/>
    <w:rsid w:val="000473D9"/>
    <w:rsid w:val="000852A4"/>
    <w:rsid w:val="000A0218"/>
    <w:rsid w:val="000E4A16"/>
    <w:rsid w:val="000E4BC7"/>
    <w:rsid w:val="001229F5"/>
    <w:rsid w:val="00150EC2"/>
    <w:rsid w:val="00152CCF"/>
    <w:rsid w:val="0016022B"/>
    <w:rsid w:val="00193AAA"/>
    <w:rsid w:val="001A4092"/>
    <w:rsid w:val="001B1A48"/>
    <w:rsid w:val="001B73A5"/>
    <w:rsid w:val="001F0559"/>
    <w:rsid w:val="00216174"/>
    <w:rsid w:val="002165C6"/>
    <w:rsid w:val="00245F2C"/>
    <w:rsid w:val="002560AB"/>
    <w:rsid w:val="00265052"/>
    <w:rsid w:val="00266370"/>
    <w:rsid w:val="00266EFE"/>
    <w:rsid w:val="00272521"/>
    <w:rsid w:val="002914FB"/>
    <w:rsid w:val="002A5ABE"/>
    <w:rsid w:val="002F40BD"/>
    <w:rsid w:val="002F5EA3"/>
    <w:rsid w:val="003004E3"/>
    <w:rsid w:val="00343D7C"/>
    <w:rsid w:val="00344D7C"/>
    <w:rsid w:val="00363D2B"/>
    <w:rsid w:val="0036462A"/>
    <w:rsid w:val="003C6852"/>
    <w:rsid w:val="003F655A"/>
    <w:rsid w:val="0042060E"/>
    <w:rsid w:val="00424023"/>
    <w:rsid w:val="00440DEE"/>
    <w:rsid w:val="00453968"/>
    <w:rsid w:val="00455EE1"/>
    <w:rsid w:val="0047568C"/>
    <w:rsid w:val="00480219"/>
    <w:rsid w:val="00485EE5"/>
    <w:rsid w:val="004A1E46"/>
    <w:rsid w:val="004A3307"/>
    <w:rsid w:val="004F73A3"/>
    <w:rsid w:val="00507267"/>
    <w:rsid w:val="0051675F"/>
    <w:rsid w:val="00540DFD"/>
    <w:rsid w:val="005461E7"/>
    <w:rsid w:val="005650E8"/>
    <w:rsid w:val="00585D9F"/>
    <w:rsid w:val="0058697F"/>
    <w:rsid w:val="00587E11"/>
    <w:rsid w:val="005B0DB9"/>
    <w:rsid w:val="005D3B24"/>
    <w:rsid w:val="005D4869"/>
    <w:rsid w:val="005E528E"/>
    <w:rsid w:val="005F2BDA"/>
    <w:rsid w:val="005F38F5"/>
    <w:rsid w:val="005F6E72"/>
    <w:rsid w:val="0060456C"/>
    <w:rsid w:val="0061404D"/>
    <w:rsid w:val="0061559D"/>
    <w:rsid w:val="006619DB"/>
    <w:rsid w:val="006B7683"/>
    <w:rsid w:val="006E326C"/>
    <w:rsid w:val="006E4A58"/>
    <w:rsid w:val="006F2997"/>
    <w:rsid w:val="006F56CB"/>
    <w:rsid w:val="00723477"/>
    <w:rsid w:val="0072797F"/>
    <w:rsid w:val="00755122"/>
    <w:rsid w:val="00787F2A"/>
    <w:rsid w:val="00794571"/>
    <w:rsid w:val="007C1FBE"/>
    <w:rsid w:val="007E1A6D"/>
    <w:rsid w:val="007E217B"/>
    <w:rsid w:val="007F1882"/>
    <w:rsid w:val="007F3B6F"/>
    <w:rsid w:val="007F517F"/>
    <w:rsid w:val="0080078F"/>
    <w:rsid w:val="008162A2"/>
    <w:rsid w:val="0082041C"/>
    <w:rsid w:val="00824E7D"/>
    <w:rsid w:val="008430C2"/>
    <w:rsid w:val="00867304"/>
    <w:rsid w:val="0087408F"/>
    <w:rsid w:val="00875E92"/>
    <w:rsid w:val="008855E0"/>
    <w:rsid w:val="008A7CD0"/>
    <w:rsid w:val="008C1966"/>
    <w:rsid w:val="008C7930"/>
    <w:rsid w:val="00944254"/>
    <w:rsid w:val="009463DB"/>
    <w:rsid w:val="009957B3"/>
    <w:rsid w:val="009A3A65"/>
    <w:rsid w:val="009B54B0"/>
    <w:rsid w:val="009C5C69"/>
    <w:rsid w:val="00A05DF4"/>
    <w:rsid w:val="00A6047D"/>
    <w:rsid w:val="00A758C0"/>
    <w:rsid w:val="00A901F9"/>
    <w:rsid w:val="00AA47E6"/>
    <w:rsid w:val="00AA568A"/>
    <w:rsid w:val="00AE0CB2"/>
    <w:rsid w:val="00AF290A"/>
    <w:rsid w:val="00AF3E3D"/>
    <w:rsid w:val="00B01B85"/>
    <w:rsid w:val="00B03A6C"/>
    <w:rsid w:val="00B10C74"/>
    <w:rsid w:val="00B13BB3"/>
    <w:rsid w:val="00B25FC7"/>
    <w:rsid w:val="00B445B1"/>
    <w:rsid w:val="00B83CAC"/>
    <w:rsid w:val="00B96028"/>
    <w:rsid w:val="00BA037F"/>
    <w:rsid w:val="00BA45DE"/>
    <w:rsid w:val="00BC56B4"/>
    <w:rsid w:val="00BD3D29"/>
    <w:rsid w:val="00C042CD"/>
    <w:rsid w:val="00C31E66"/>
    <w:rsid w:val="00C3293E"/>
    <w:rsid w:val="00C63882"/>
    <w:rsid w:val="00C70866"/>
    <w:rsid w:val="00C86D69"/>
    <w:rsid w:val="00C9259A"/>
    <w:rsid w:val="00CA0B9E"/>
    <w:rsid w:val="00D25EE3"/>
    <w:rsid w:val="00D459B6"/>
    <w:rsid w:val="00D463FB"/>
    <w:rsid w:val="00D80E08"/>
    <w:rsid w:val="00DB3670"/>
    <w:rsid w:val="00E12D73"/>
    <w:rsid w:val="00E14C6B"/>
    <w:rsid w:val="00E62EC7"/>
    <w:rsid w:val="00E7046E"/>
    <w:rsid w:val="00E73285"/>
    <w:rsid w:val="00E76DB6"/>
    <w:rsid w:val="00EE22A3"/>
    <w:rsid w:val="00EE30A6"/>
    <w:rsid w:val="00F117DC"/>
    <w:rsid w:val="00F12EF8"/>
    <w:rsid w:val="00F144BE"/>
    <w:rsid w:val="00F509EC"/>
    <w:rsid w:val="00F6020D"/>
    <w:rsid w:val="00F95B95"/>
    <w:rsid w:val="00F96F68"/>
    <w:rsid w:val="00FC7B52"/>
    <w:rsid w:val="00FF5FAC"/>
    <w:rsid w:val="030F0E32"/>
    <w:rsid w:val="05ED3BB9"/>
    <w:rsid w:val="07707311"/>
    <w:rsid w:val="0A8665A9"/>
    <w:rsid w:val="0D731AB9"/>
    <w:rsid w:val="11EB5613"/>
    <w:rsid w:val="26C5577E"/>
    <w:rsid w:val="27AB0CA9"/>
    <w:rsid w:val="2D955B45"/>
    <w:rsid w:val="4BEB7E9C"/>
    <w:rsid w:val="61846E51"/>
    <w:rsid w:val="FDFD9E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character" w:customStyle="1" w:styleId="9">
    <w:name w:val="批注框文本 字符"/>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2809</Words>
  <Characters>2817</Characters>
  <Lines>21</Lines>
  <Paragraphs>5</Paragraphs>
  <TotalTime>3</TotalTime>
  <ScaleCrop>false</ScaleCrop>
  <LinksUpToDate>false</LinksUpToDate>
  <CharactersWithSpaces>2817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2025-08-12T11:34:00Z</dcterms:created>
  <dc:creator>lenovo</dc:creator>
  <cp:lastModifiedBy>cong cong</cp:lastModifiedBy>
  <cp:lastPrinted>2025-09-09T10:44:00Z</cp:lastPrinted>
  <dcterms:modified xsi:type="dcterms:W3CDTF">2025-09-12T08:35:21Z</dcterms:modified>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393169435E604E8F8492C7C878DBDA8B_13</vt:lpwstr>
  </property>
</Properties>
</file>