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4D0FAF">
      <w:pPr>
        <w:spacing w:line="560" w:lineRule="exact"/>
        <w:ind w:left="880" w:hanging="880" w:hangingChars="200"/>
        <w:rPr>
          <w:rFonts w:ascii="方正小标宋简体" w:eastAsia="方正小标宋简体"/>
          <w:sz w:val="44"/>
          <w:szCs w:val="44"/>
        </w:rPr>
      </w:pPr>
      <w:r>
        <w:rPr>
          <w:rFonts w:hint="eastAsia" w:ascii="方正小标宋简体" w:eastAsia="方正小标宋简体"/>
          <w:sz w:val="44"/>
          <w:szCs w:val="44"/>
        </w:rPr>
        <w:t xml:space="preserve"> </w:t>
      </w:r>
      <w:r>
        <w:rPr>
          <w:rFonts w:hint="eastAsia" w:ascii="黑体" w:hAnsi="黑体" w:eastAsia="黑体" w:cs="黑体"/>
          <w:sz w:val="32"/>
          <w:szCs w:val="32"/>
        </w:rPr>
        <w:t>附件1</w:t>
      </w:r>
      <w:r>
        <w:rPr>
          <w:rFonts w:hint="eastAsia" w:ascii="方正小标宋简体" w:eastAsia="方正小标宋简体"/>
          <w:sz w:val="44"/>
          <w:szCs w:val="44"/>
        </w:rPr>
        <w:t xml:space="preserve">                                                                                                                                                                                                                                                                                                                                                                                                                                                                                                                                                                                                                                                                                                                                                                                                                                                                                                                                                                                                                                                                                                                                                                                                                                                                                                                                                                                                                                                                                                                                                                                                                                                                                                                                                                                                                                                                                                                                                                                                                                                                                                                                                                                                                                                                                                                                                                                                                                                                                                                                                                                                                                                                                                                                                                                                                                                   </w:t>
      </w:r>
    </w:p>
    <w:p w14:paraId="1166C15E">
      <w:pPr>
        <w:spacing w:line="560" w:lineRule="exact"/>
        <w:ind w:left="879" w:leftChars="209" w:hanging="440" w:hangingChars="100"/>
        <w:rPr>
          <w:rFonts w:ascii="方正小标宋简体" w:eastAsia="方正小标宋简体"/>
          <w:sz w:val="44"/>
          <w:szCs w:val="44"/>
        </w:rPr>
      </w:pPr>
      <w:bookmarkStart w:id="0" w:name="_GoBack"/>
      <w:r>
        <w:rPr>
          <w:rFonts w:hint="eastAsia" w:ascii="方正小标宋简体" w:eastAsia="方正小标宋简体"/>
          <w:sz w:val="44"/>
          <w:szCs w:val="44"/>
        </w:rPr>
        <w:t>鄂尔多斯市关于进一步深化户籍制度改革</w:t>
      </w:r>
    </w:p>
    <w:p w14:paraId="599F11E3">
      <w:pPr>
        <w:spacing w:line="560" w:lineRule="exact"/>
        <w:jc w:val="center"/>
        <w:rPr>
          <w:rFonts w:ascii="方正小标宋简体" w:eastAsia="方正小标宋简体"/>
          <w:sz w:val="44"/>
          <w:szCs w:val="44"/>
        </w:rPr>
      </w:pPr>
      <w:r>
        <w:rPr>
          <w:rFonts w:hint="eastAsia" w:ascii="方正小标宋简体" w:eastAsia="方正小标宋简体"/>
          <w:sz w:val="44"/>
          <w:szCs w:val="44"/>
        </w:rPr>
        <w:t>全面放开城乡落户限制的通知</w:t>
      </w:r>
    </w:p>
    <w:bookmarkEnd w:id="0"/>
    <w:p w14:paraId="45543325">
      <w:pPr>
        <w:spacing w:line="560" w:lineRule="exact"/>
        <w:jc w:val="center"/>
        <w:rPr>
          <w:rFonts w:ascii="楷体_GB2312" w:eastAsia="楷体_GB2312"/>
          <w:sz w:val="32"/>
          <w:szCs w:val="32"/>
        </w:rPr>
      </w:pPr>
      <w:r>
        <w:rPr>
          <w:rFonts w:hint="eastAsia" w:ascii="楷体_GB2312" w:eastAsia="楷体_GB2312"/>
          <w:sz w:val="32"/>
          <w:szCs w:val="32"/>
        </w:rPr>
        <w:t>（征求意见稿）</w:t>
      </w:r>
    </w:p>
    <w:p w14:paraId="2C2C6E61">
      <w:pPr>
        <w:spacing w:line="560" w:lineRule="exact"/>
        <w:ind w:firstLine="640" w:firstLineChars="200"/>
        <w:rPr>
          <w:rFonts w:ascii="仿宋_GB2312" w:eastAsia="仿宋_GB2312"/>
          <w:sz w:val="32"/>
          <w:szCs w:val="32"/>
        </w:rPr>
      </w:pPr>
      <w:r>
        <w:rPr>
          <w:rFonts w:hint="eastAsia" w:ascii="仿宋_GB2312" w:eastAsia="仿宋_GB2312"/>
          <w:sz w:val="32"/>
          <w:szCs w:val="32"/>
        </w:rPr>
        <w:t>为深入贯彻落实《中共中央国务院关于构建更加完善的要素市场化配置体制机制的意见》和《内蒙古自治区人民政府办公厅关于全面放开城镇落户限制深化户籍制度改革的实施意见》精神，统筹推进新型城镇化建设和乡村振兴战略，促进人口和劳动力合理有序流动，现就进一步深化户籍制度改革，促进城乡融合区域协调发展有关事项通知如下：</w:t>
      </w:r>
    </w:p>
    <w:p w14:paraId="235C5587">
      <w:pPr>
        <w:spacing w:line="560" w:lineRule="exact"/>
        <w:ind w:firstLine="640" w:firstLineChars="200"/>
        <w:rPr>
          <w:rFonts w:ascii="仿宋_GB2312" w:eastAsia="仿宋_GB2312"/>
          <w:sz w:val="32"/>
          <w:szCs w:val="32"/>
        </w:rPr>
      </w:pPr>
      <w:r>
        <w:rPr>
          <w:rFonts w:hint="eastAsia" w:ascii="黑体" w:hAnsi="黑体" w:eastAsia="黑体" w:cs="黑体"/>
          <w:sz w:val="32"/>
          <w:szCs w:val="32"/>
        </w:rPr>
        <w:t>一、全面放开城镇落户限制。</w:t>
      </w:r>
      <w:r>
        <w:rPr>
          <w:rFonts w:hint="eastAsia" w:ascii="仿宋_GB2312" w:eastAsia="仿宋_GB2312"/>
          <w:sz w:val="32"/>
          <w:szCs w:val="32"/>
        </w:rPr>
        <w:t>实行以经常居住地登记户口制度。居民凡在城镇居住、就业、就学的，本人及其近亲属均可自主选择落户，不受城乡地域、年龄、社保等条件限制。</w:t>
      </w:r>
    </w:p>
    <w:p w14:paraId="335F8D55">
      <w:pPr>
        <w:spacing w:line="560" w:lineRule="exact"/>
        <w:ind w:firstLine="640" w:firstLineChars="200"/>
        <w:rPr>
          <w:rFonts w:ascii="仿宋_GB2312" w:eastAsia="仿宋_GB2312"/>
          <w:sz w:val="32"/>
          <w:szCs w:val="32"/>
        </w:rPr>
      </w:pPr>
      <w:r>
        <w:rPr>
          <w:rFonts w:hint="eastAsia" w:ascii="黑体" w:hAnsi="黑体" w:eastAsia="黑体" w:cs="黑体"/>
          <w:sz w:val="32"/>
          <w:szCs w:val="32"/>
        </w:rPr>
        <w:t>二、畅通返乡入乡落户渠道。</w:t>
      </w:r>
      <w:r>
        <w:rPr>
          <w:rFonts w:hint="eastAsia" w:ascii="仿宋_GB2312" w:hAnsi="仿宋_GB2312" w:eastAsia="仿宋_GB2312" w:cs="仿宋_GB2312"/>
          <w:sz w:val="32"/>
          <w:szCs w:val="32"/>
        </w:rPr>
        <w:t>按照经常居住地登记户口原则，根据村民自治意愿，以下符合条件人员，可将户口迁入农村地区：农村籍的大中专院校毕业生、农村籍部队退役人员，毕业后或退役后未发生户口迁移的，可以回原籍落户；科技人才</w:t>
      </w:r>
      <w:r>
        <w:rPr>
          <w:rFonts w:hint="eastAsia" w:ascii="仿宋_GB2312" w:eastAsia="仿宋_GB2312"/>
          <w:sz w:val="32"/>
          <w:szCs w:val="32"/>
        </w:rPr>
        <w:t>入乡返乡就业创业，可在原籍或就业创业地落户；拥有农村地区宅基地使用权、土地承包权、林草权或者集体土地使用权等证明，可将户口迁入</w:t>
      </w:r>
      <w:r>
        <w:rPr>
          <w:rFonts w:hint="eastAsia" w:ascii="仿宋_GB2312" w:hAnsi="仿宋_GB2312" w:eastAsia="仿宋_GB2312" w:cs="仿宋_GB2312"/>
          <w:sz w:val="32"/>
          <w:szCs w:val="32"/>
        </w:rPr>
        <w:t>农村地区</w:t>
      </w:r>
      <w:r>
        <w:rPr>
          <w:rFonts w:hint="eastAsia" w:ascii="仿宋_GB2312" w:eastAsia="仿宋_GB2312"/>
          <w:sz w:val="32"/>
          <w:szCs w:val="32"/>
        </w:rPr>
        <w:t>；农村地区人员共同居住生活的配偶、父母、子女、孙子女、外孙子女可通过亲属投靠入乡落户;在农牧区因居住、就业、就学居住6个月以上办理居住证的人员，可持居住证落户。</w:t>
      </w:r>
    </w:p>
    <w:p w14:paraId="145A94D0">
      <w:pPr>
        <w:spacing w:line="560" w:lineRule="exact"/>
        <w:ind w:firstLine="640" w:firstLineChars="200"/>
        <w:rPr>
          <w:rFonts w:ascii="仿宋_GB2312" w:eastAsia="仿宋_GB2312"/>
          <w:sz w:val="32"/>
          <w:szCs w:val="32"/>
        </w:rPr>
      </w:pPr>
      <w:r>
        <w:rPr>
          <w:rFonts w:hint="eastAsia" w:ascii="仿宋_GB2312" w:eastAsia="仿宋_GB2312"/>
          <w:sz w:val="32"/>
          <w:szCs w:val="32"/>
        </w:rPr>
        <w:t>按照经常居住地登记户口原则，在农村实际居住生活的，拟将户口迁入我市农村地区的，以合法稳定住所为基本条件，遵循先家庭后集体的原则，有自有房屋（宅基地权）的可以将户籍地址登记在自由房屋上，无自有房屋（宅基地权）的可以将户籍地址登记在农村公共集体户。</w:t>
      </w:r>
    </w:p>
    <w:p w14:paraId="7EEA9735">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三、试点推行电子居住证、居住证市内互认通迁制度。</w:t>
      </w:r>
      <w:r>
        <w:rPr>
          <w:rFonts w:hint="eastAsia" w:ascii="仿宋_GB2312" w:hAnsi="仿宋_GB2312" w:eastAsia="仿宋_GB2312" w:cs="仿宋_GB2312"/>
          <w:sz w:val="32"/>
          <w:szCs w:val="32"/>
        </w:rPr>
        <w:t>我市在全区范围内率先推行电子居住证，电子居住证与居住证实体证具有同等法律效力；现有居住证市内互认通迁；我市范围内居住证登记时间累积互认；我市户籍人口市内流动，流入地实际居住，登记即出证等制度。</w:t>
      </w:r>
    </w:p>
    <w:p w14:paraId="193FD053">
      <w:pPr>
        <w:spacing w:line="560" w:lineRule="exact"/>
        <w:ind w:firstLine="640" w:firstLineChars="200"/>
        <w:rPr>
          <w:rFonts w:ascii="仿宋_GB2312" w:eastAsia="仿宋_GB2312"/>
          <w:color w:val="000000" w:themeColor="text1"/>
          <w:sz w:val="32"/>
          <w:szCs w:val="32"/>
        </w:rPr>
      </w:pPr>
      <w:r>
        <w:rPr>
          <w:rFonts w:hint="eastAsia" w:ascii="黑体" w:hAnsi="黑体" w:eastAsia="黑体" w:cs="黑体"/>
          <w:sz w:val="32"/>
          <w:szCs w:val="32"/>
        </w:rPr>
        <w:t>四、推进城镇基本公共服务均等化。</w:t>
      </w:r>
      <w:r>
        <w:rPr>
          <w:rFonts w:hint="eastAsia" w:ascii="仿宋_GB2312" w:eastAsia="仿宋_GB2312"/>
          <w:color w:val="000000" w:themeColor="text1"/>
          <w:sz w:val="32"/>
          <w:szCs w:val="32"/>
        </w:rPr>
        <w:t>突出保基本、保重点，建立城镇教育、医疗卫生、住房保障等基本公共服务与常住人口挂钩机制，创新完善流动人口服务管理，保障居住证持有人享有城镇基本公共服务和便利，统一纳入城镇服务管理范畴。</w:t>
      </w:r>
    </w:p>
    <w:p w14:paraId="4B4F6BC4">
      <w:pPr>
        <w:spacing w:line="560" w:lineRule="exact"/>
        <w:ind w:firstLine="640" w:firstLineChars="200"/>
        <w:rPr>
          <w:rFonts w:ascii="仿宋_GB2312" w:eastAsia="仿宋_GB2312"/>
          <w:color w:val="000000" w:themeColor="text1"/>
          <w:sz w:val="32"/>
          <w:szCs w:val="32"/>
        </w:rPr>
      </w:pPr>
      <w:r>
        <w:rPr>
          <w:rFonts w:hint="eastAsia" w:ascii="黑体" w:hAnsi="黑体" w:eastAsia="黑体" w:cs="黑体"/>
          <w:sz w:val="32"/>
          <w:szCs w:val="32"/>
        </w:rPr>
        <w:t>五、保障进城落户农牧民合法权益。</w:t>
      </w:r>
      <w:r>
        <w:rPr>
          <w:rFonts w:hint="eastAsia" w:ascii="仿宋_GB2312" w:hAnsi="仿宋_GB2312" w:eastAsia="仿宋_GB2312" w:cs="仿宋_GB2312"/>
          <w:sz w:val="32"/>
          <w:szCs w:val="32"/>
        </w:rPr>
        <w:t>依</w:t>
      </w:r>
      <w:r>
        <w:rPr>
          <w:rFonts w:hint="eastAsia" w:ascii="仿宋_GB2312" w:hAnsi="仿宋_GB2312" w:eastAsia="仿宋_GB2312" w:cs="仿宋_GB2312"/>
          <w:color w:val="000000" w:themeColor="text1"/>
          <w:sz w:val="32"/>
          <w:szCs w:val="32"/>
        </w:rPr>
        <w:t>法维护进城落户农牧民的土地承包权、</w:t>
      </w:r>
      <w:r>
        <w:rPr>
          <w:rFonts w:hint="eastAsia" w:ascii="仿宋_GB2312" w:hAnsi="仿宋_GB2312" w:eastAsia="仿宋_GB2312" w:cs="仿宋_GB2312"/>
          <w:sz w:val="32"/>
          <w:szCs w:val="32"/>
        </w:rPr>
        <w:t>林草权、</w:t>
      </w:r>
      <w:r>
        <w:rPr>
          <w:rFonts w:hint="eastAsia" w:ascii="仿宋_GB2312" w:hAnsi="仿宋_GB2312" w:eastAsia="仿宋_GB2312" w:cs="仿宋_GB2312"/>
          <w:color w:val="000000" w:themeColor="text1"/>
          <w:sz w:val="32"/>
          <w:szCs w:val="32"/>
        </w:rPr>
        <w:t>宅基地使用权、集</w:t>
      </w:r>
      <w:r>
        <w:rPr>
          <w:rFonts w:hint="eastAsia" w:ascii="仿宋_GB2312" w:eastAsia="仿宋_GB2312"/>
          <w:color w:val="000000" w:themeColor="text1"/>
          <w:sz w:val="32"/>
          <w:szCs w:val="32"/>
        </w:rPr>
        <w:t>体收益分配权。全面完成农村不动产确权登记颁证，进一步深化农牧区集体资产产权制度改革，加快农牧区集体经济组织成员权益与户口登记脱钩。支持、引导进城落户农牧民自愿有偿流转相关权益，探索向农村集体经济组织退出农户承包权、宅基地资格权、林地草牧场资格权、集体资产股权的具体办法。</w:t>
      </w:r>
    </w:p>
    <w:p w14:paraId="719BBB20">
      <w:pPr>
        <w:spacing w:line="560" w:lineRule="exact"/>
        <w:ind w:firstLine="640" w:firstLineChars="200"/>
        <w:rPr>
          <w:rFonts w:ascii="仿宋_GB2312" w:eastAsia="仿宋_GB2312"/>
          <w:color w:val="000000" w:themeColor="text1"/>
          <w:sz w:val="32"/>
          <w:szCs w:val="32"/>
        </w:rPr>
      </w:pPr>
      <w:r>
        <w:rPr>
          <w:rFonts w:hint="eastAsia" w:ascii="黑体" w:hAnsi="黑体" w:eastAsia="黑体" w:cs="黑体"/>
          <w:sz w:val="32"/>
          <w:szCs w:val="32"/>
        </w:rPr>
        <w:t>六、加强组织领导和宣传引号。</w:t>
      </w:r>
      <w:r>
        <w:rPr>
          <w:rFonts w:hint="eastAsia" w:ascii="仿宋_GB2312" w:eastAsia="仿宋_GB2312"/>
          <w:color w:val="000000" w:themeColor="text1"/>
          <w:sz w:val="32"/>
          <w:szCs w:val="32"/>
        </w:rPr>
        <w:t>各级要切实承担起责任，细化改革方案，抓好政策落实。公安机关要发挥好牵头组织、统筹协调作用，其他有关部门要按照职责分工，加强协调配合和政策衔接，形成工作合力。</w:t>
      </w:r>
    </w:p>
    <w:p w14:paraId="08A0F717">
      <w:pPr>
        <w:spacing w:line="560" w:lineRule="exact"/>
        <w:ind w:firstLine="640" w:firstLineChars="200"/>
        <w:rPr>
          <w:rFonts w:ascii="仿宋_GB2312" w:eastAsia="仿宋_GB2312"/>
          <w:color w:val="000000" w:themeColor="text1"/>
          <w:sz w:val="32"/>
          <w:szCs w:val="32"/>
        </w:rPr>
      </w:pPr>
      <w:r>
        <w:rPr>
          <w:rFonts w:hint="eastAsia" w:ascii="仿宋_GB2312" w:eastAsia="仿宋_GB2312"/>
          <w:color w:val="000000" w:themeColor="text1"/>
          <w:sz w:val="32"/>
          <w:szCs w:val="32"/>
        </w:rPr>
        <w:t>本通知自2025年×月×日起实施。以往印发文件与本通知内容不一致的，以本通知为准；本通知未涉及的事项根据国家、自治区、市现行相应政策办理；国家、自治区有特殊政策规定的依据国家、自治区相关文件执行。</w:t>
      </w:r>
    </w:p>
    <w:p w14:paraId="394E23C7">
      <w:pPr>
        <w:spacing w:line="560" w:lineRule="exact"/>
      </w:pPr>
    </w:p>
    <w:p w14:paraId="3A9CCA05">
      <w:pPr>
        <w:spacing w:line="560" w:lineRule="exact"/>
      </w:pPr>
    </w:p>
    <w:sectPr>
      <w:footerReference r:id="rId3" w:type="default"/>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2010601030101010101"/>
    <w:charset w:val="86"/>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A3570">
    <w:pPr>
      <w:pStyle w:val="2"/>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E8D8C1C">
                          <w:pPr>
                            <w:pStyle w:val="2"/>
                            <w:rPr>
                              <w:rFonts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ascii="仿宋_GB2312" w:hAnsi="仿宋_GB2312" w:eastAsia="仿宋_GB2312" w:cs="仿宋_GB2312"/>
                              <w:sz w:val="28"/>
                              <w:szCs w:val="28"/>
                            </w:rPr>
                            <w:t>- 2 -</w:t>
                          </w:r>
                          <w:r>
                            <w:rPr>
                              <w:rFonts w:hint="eastAsia" w:ascii="仿宋_GB2312" w:hAnsi="仿宋_GB2312" w:eastAsia="仿宋_GB2312" w:cs="仿宋_GB2312"/>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0E8D8C1C">
                    <w:pPr>
                      <w:pStyle w:val="2"/>
                      <w:rPr>
                        <w:rFonts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ascii="仿宋_GB2312" w:hAnsi="仿宋_GB2312" w:eastAsia="仿宋_GB2312" w:cs="仿宋_GB2312"/>
                        <w:sz w:val="28"/>
                        <w:szCs w:val="28"/>
                      </w:rPr>
                      <w:t>- 2 -</w:t>
                    </w:r>
                    <w:r>
                      <w:rPr>
                        <w:rFonts w:hint="eastAsia" w:ascii="仿宋_GB2312" w:hAnsi="仿宋_GB2312" w:eastAsia="仿宋_GB2312" w:cs="仿宋_GB2312"/>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RlNjAzNGE1OWNlODkyNmIzYzlmYzAwZDY4NzU3MmEifQ=="/>
  </w:docVars>
  <w:rsids>
    <w:rsidRoot w:val="00D31235"/>
    <w:rsid w:val="000C1467"/>
    <w:rsid w:val="00A36274"/>
    <w:rsid w:val="00D31235"/>
    <w:rsid w:val="03DF4A2B"/>
    <w:rsid w:val="0883023F"/>
    <w:rsid w:val="0BE90E96"/>
    <w:rsid w:val="10483EC5"/>
    <w:rsid w:val="133B512C"/>
    <w:rsid w:val="1E537817"/>
    <w:rsid w:val="45D55050"/>
    <w:rsid w:val="4AAA4E8E"/>
    <w:rsid w:val="4AFE2517"/>
    <w:rsid w:val="4BA12A37"/>
    <w:rsid w:val="4BBB01E6"/>
    <w:rsid w:val="4BE27F8A"/>
    <w:rsid w:val="793664F3"/>
    <w:rsid w:val="7DD1607F"/>
    <w:rsid w:val="7ED860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1242</Words>
  <Characters>1245</Characters>
  <Lines>28</Lines>
  <Paragraphs>7</Paragraphs>
  <TotalTime>0</TotalTime>
  <ScaleCrop>false</ScaleCrop>
  <LinksUpToDate>false</LinksUpToDate>
  <CharactersWithSpaces>3985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2025-06-30T02:07:00Z</dcterms:created>
  <dc:creator>Administrator</dc:creator>
  <cp:lastModifiedBy>Administrator</cp:lastModifiedBy>
  <cp:lastPrinted>2025-06-26T07:30:00Z</cp:lastPrinted>
  <dcterms:modified xsi:type="dcterms:W3CDTF">2025-08-08T07:53:59Z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76192C03EB704BE08DC38AAAFBB7709C_13</vt:lpwstr>
  </property>
</Properties>
</file>